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9D0" w:rsidRDefault="002569D0" w:rsidP="002569D0">
      <w:pPr>
        <w:spacing w:after="0" w:line="22" w:lineRule="atLeast"/>
        <w:rPr>
          <w:rFonts w:eastAsia="Times New Roman" w:cstheme="minorHAnsi"/>
          <w:b/>
          <w:sz w:val="28"/>
          <w:szCs w:val="28"/>
          <w:shd w:val="clear" w:color="auto" w:fill="FFFFFF"/>
          <w:lang w:eastAsia="it-IT"/>
        </w:rPr>
      </w:pPr>
      <w:bookmarkStart w:id="0" w:name="_GoBack"/>
      <w:r>
        <w:rPr>
          <w:rFonts w:eastAsia="Times New Roman" w:cstheme="minorHAnsi"/>
          <w:b/>
          <w:noProof/>
          <w:sz w:val="28"/>
          <w:szCs w:val="28"/>
          <w:lang w:eastAsia="it-IT"/>
        </w:rPr>
        <w:pict>
          <v:shapetype id="_x0000_t202" coordsize="21600,21600" o:spt="202" path="m,l,21600r21600,l21600,xe">
            <v:stroke joinstyle="miter"/>
            <v:path gradientshapeok="t" o:connecttype="rect"/>
          </v:shapetype>
          <v:shape id="_x0000_s1026" type="#_x0000_t202" style="position:absolute;margin-left:-.45pt;margin-top:-2.6pt;width:43.5pt;height:34.5pt;z-index:251658240" fillcolor="white [3201]" strokecolor="#c9c9c9 [1942]" strokeweight="1pt">
            <v:fill color2="#dbdbdb [1302]" focusposition="1" focussize="" focus="100%" type="gradient"/>
            <v:shadow on="t" type="perspective" color="#525252 [1606]" opacity=".5" offset="1pt" offset2="-3pt"/>
            <v:textbox>
              <w:txbxContent>
                <w:p w:rsidR="002569D0" w:rsidRPr="00A56793" w:rsidRDefault="002569D0" w:rsidP="002569D0">
                  <w:pPr>
                    <w:jc w:val="center"/>
                    <w:rPr>
                      <w:b/>
                      <w:sz w:val="48"/>
                      <w:szCs w:val="48"/>
                    </w:rPr>
                  </w:pPr>
                  <w:r>
                    <w:rPr>
                      <w:b/>
                      <w:sz w:val="48"/>
                      <w:szCs w:val="48"/>
                    </w:rPr>
                    <w:t>2</w:t>
                  </w:r>
                </w:p>
              </w:txbxContent>
            </v:textbox>
          </v:shape>
        </w:pict>
      </w:r>
    </w:p>
    <w:p w:rsidR="002569D0" w:rsidRDefault="002569D0" w:rsidP="002569D0">
      <w:pPr>
        <w:spacing w:after="0" w:line="60" w:lineRule="atLeast"/>
        <w:jc w:val="center"/>
        <w:rPr>
          <w:rFonts w:eastAsia="Times New Roman" w:cstheme="minorHAnsi"/>
          <w:b/>
          <w:sz w:val="28"/>
          <w:szCs w:val="28"/>
          <w:shd w:val="clear" w:color="auto" w:fill="FFFFFF"/>
          <w:lang w:eastAsia="it-IT"/>
        </w:rPr>
      </w:pPr>
    </w:p>
    <w:p w:rsidR="002569D0" w:rsidRPr="001B1199" w:rsidRDefault="00853883" w:rsidP="002569D0">
      <w:pPr>
        <w:spacing w:line="22" w:lineRule="atLeast"/>
        <w:jc w:val="center"/>
        <w:rPr>
          <w:rFonts w:eastAsia="Times New Roman" w:cstheme="minorHAnsi"/>
          <w:b/>
          <w:sz w:val="28"/>
          <w:szCs w:val="28"/>
          <w:shd w:val="clear" w:color="auto" w:fill="FFFFFF"/>
          <w:lang w:eastAsia="it-IT"/>
        </w:rPr>
      </w:pPr>
      <w:r>
        <w:rPr>
          <w:rFonts w:eastAsia="Times New Roman" w:cstheme="minorHAnsi"/>
          <w:b/>
          <w:sz w:val="28"/>
          <w:szCs w:val="28"/>
          <w:shd w:val="clear" w:color="auto" w:fill="FFFFFF"/>
          <w:lang w:eastAsia="it-IT"/>
        </w:rPr>
        <w:t>Informativa generale</w:t>
      </w:r>
    </w:p>
    <w:p w:rsidR="001B1199" w:rsidRPr="001B1199" w:rsidRDefault="00853883" w:rsidP="002569D0">
      <w:pPr>
        <w:spacing w:after="0" w:line="60" w:lineRule="atLeast"/>
        <w:jc w:val="center"/>
        <w:rPr>
          <w:rFonts w:eastAsia="Times New Roman" w:cstheme="minorHAnsi"/>
          <w:b/>
          <w:sz w:val="28"/>
          <w:szCs w:val="28"/>
          <w:shd w:val="clear" w:color="auto" w:fill="FFFFFF"/>
          <w:lang w:eastAsia="it-IT"/>
        </w:rPr>
      </w:pPr>
      <w:r>
        <w:rPr>
          <w:rFonts w:eastAsia="Times New Roman" w:cstheme="minorHAnsi"/>
          <w:b/>
          <w:sz w:val="28"/>
          <w:szCs w:val="28"/>
          <w:shd w:val="clear" w:color="auto" w:fill="FFFFFF"/>
          <w:lang w:eastAsia="it-IT"/>
        </w:rPr>
        <w:t xml:space="preserve">sulla situazione politico/legislativa del </w:t>
      </w:r>
      <w:r w:rsidR="001B1199" w:rsidRPr="001B1199">
        <w:rPr>
          <w:rFonts w:eastAsia="Times New Roman" w:cstheme="minorHAnsi"/>
          <w:b/>
          <w:sz w:val="28"/>
          <w:szCs w:val="28"/>
          <w:shd w:val="clear" w:color="auto" w:fill="FFFFFF"/>
          <w:lang w:eastAsia="it-IT"/>
        </w:rPr>
        <w:t xml:space="preserve">1° </w:t>
      </w:r>
      <w:r w:rsidRPr="001B1199">
        <w:rPr>
          <w:rFonts w:eastAsia="Times New Roman" w:cstheme="minorHAnsi"/>
          <w:b/>
          <w:sz w:val="28"/>
          <w:szCs w:val="28"/>
          <w:shd w:val="clear" w:color="auto" w:fill="FFFFFF"/>
          <w:lang w:eastAsia="it-IT"/>
        </w:rPr>
        <w:t>trimestre</w:t>
      </w:r>
      <w:r w:rsidR="001B1199" w:rsidRPr="001B1199">
        <w:rPr>
          <w:rFonts w:eastAsia="Times New Roman" w:cstheme="minorHAnsi"/>
          <w:b/>
          <w:sz w:val="28"/>
          <w:szCs w:val="28"/>
          <w:shd w:val="clear" w:color="auto" w:fill="FFFFFF"/>
          <w:lang w:eastAsia="it-IT"/>
        </w:rPr>
        <w:t xml:space="preserve"> 2017</w:t>
      </w:r>
    </w:p>
    <w:p w:rsidR="000F57E9" w:rsidRPr="001B1199" w:rsidRDefault="000F57E9" w:rsidP="00DC30E6">
      <w:pPr>
        <w:spacing w:after="0" w:line="22" w:lineRule="atLeast"/>
        <w:jc w:val="both"/>
        <w:rPr>
          <w:rFonts w:eastAsia="Times New Roman" w:cstheme="minorHAnsi"/>
          <w:sz w:val="28"/>
          <w:szCs w:val="28"/>
          <w:shd w:val="clear" w:color="auto" w:fill="FFFFFF"/>
          <w:lang w:eastAsia="it-IT"/>
        </w:rPr>
      </w:pPr>
    </w:p>
    <w:p w:rsidR="000F57E9" w:rsidRPr="000B038B" w:rsidRDefault="000F57E9" w:rsidP="00DC30E6">
      <w:pPr>
        <w:spacing w:after="0" w:line="22" w:lineRule="atLeast"/>
        <w:jc w:val="both"/>
        <w:rPr>
          <w:rFonts w:eastAsia="Times New Roman" w:cstheme="minorHAnsi"/>
          <w:sz w:val="24"/>
          <w:szCs w:val="24"/>
          <w:shd w:val="clear" w:color="auto" w:fill="FFFFFF"/>
          <w:lang w:eastAsia="it-IT"/>
        </w:rPr>
      </w:pPr>
      <w:r w:rsidRPr="000B038B">
        <w:rPr>
          <w:rFonts w:eastAsia="Times New Roman" w:cstheme="minorHAnsi"/>
          <w:sz w:val="24"/>
          <w:szCs w:val="24"/>
          <w:shd w:val="clear" w:color="auto" w:fill="FFFFFF"/>
          <w:lang w:eastAsia="it-IT"/>
        </w:rPr>
        <w:t>Più va avanti, più Paolo Gentiloni è convinto di se stesso</w:t>
      </w:r>
      <w:r w:rsidR="00DC30E6">
        <w:rPr>
          <w:rFonts w:eastAsia="Times New Roman" w:cstheme="minorHAnsi"/>
          <w:sz w:val="24"/>
          <w:szCs w:val="24"/>
          <w:shd w:val="clear" w:color="auto" w:fill="FFFFFF"/>
          <w:lang w:eastAsia="it-IT"/>
        </w:rPr>
        <w:t>, a dispetto di tutto quello che gli sta accadendo intorno</w:t>
      </w:r>
      <w:r w:rsidRPr="000B038B">
        <w:rPr>
          <w:rFonts w:eastAsia="Times New Roman" w:cstheme="minorHAnsi"/>
          <w:sz w:val="24"/>
          <w:szCs w:val="24"/>
          <w:shd w:val="clear" w:color="auto" w:fill="FFFFFF"/>
          <w:lang w:eastAsia="it-IT"/>
        </w:rPr>
        <w:t xml:space="preserve">. Ha definito il suo governo “rassicurante” ed è fermamente convinto di arrivare a fine mandato. Altro che governo di transizione! Lui stesso, in effetti, lo aveva definito un esecutivo di “prosecuzione”, mantenendo quasi per intero la precedente squadra dei ministri. </w:t>
      </w:r>
    </w:p>
    <w:p w:rsidR="000F57E9" w:rsidRPr="000B038B" w:rsidRDefault="000F57E9" w:rsidP="00DC30E6">
      <w:pPr>
        <w:spacing w:after="0" w:line="22" w:lineRule="atLeast"/>
        <w:jc w:val="both"/>
        <w:rPr>
          <w:rFonts w:eastAsia="Times New Roman" w:cstheme="minorHAnsi"/>
          <w:sz w:val="24"/>
          <w:szCs w:val="24"/>
          <w:shd w:val="clear" w:color="auto" w:fill="FFFFFF"/>
          <w:lang w:eastAsia="it-IT"/>
        </w:rPr>
      </w:pPr>
      <w:r w:rsidRPr="000B038B">
        <w:rPr>
          <w:rFonts w:eastAsia="Times New Roman" w:cstheme="minorHAnsi"/>
          <w:sz w:val="24"/>
          <w:szCs w:val="24"/>
          <w:shd w:val="clear" w:color="auto" w:fill="FFFFFF"/>
          <w:lang w:eastAsia="it-IT"/>
        </w:rPr>
        <w:t xml:space="preserve">Ma parlare oggi di continuità </w:t>
      </w:r>
      <w:r w:rsidR="00DC30E6">
        <w:rPr>
          <w:rFonts w:eastAsia="Times New Roman" w:cstheme="minorHAnsi"/>
          <w:sz w:val="24"/>
          <w:szCs w:val="24"/>
          <w:shd w:val="clear" w:color="auto" w:fill="FFFFFF"/>
          <w:lang w:eastAsia="it-IT"/>
        </w:rPr>
        <w:t xml:space="preserve">sembra essere una provocazione, visto che il popolo italiano è sempre più sfiduciato nei confronti della politica e, dopo aver </w:t>
      </w:r>
      <w:r w:rsidR="00DC30E6" w:rsidRPr="000B038B">
        <w:rPr>
          <w:rFonts w:eastAsia="Times New Roman" w:cstheme="minorHAnsi"/>
          <w:sz w:val="24"/>
          <w:szCs w:val="24"/>
          <w:shd w:val="clear" w:color="auto" w:fill="FFFFFF"/>
          <w:lang w:eastAsia="it-IT"/>
        </w:rPr>
        <w:t>respinto al mittente le idee e i programmi di Matteo Renzi</w:t>
      </w:r>
      <w:r w:rsidR="00DC30E6">
        <w:rPr>
          <w:rFonts w:eastAsia="Times New Roman" w:cstheme="minorHAnsi"/>
          <w:sz w:val="24"/>
          <w:szCs w:val="24"/>
          <w:shd w:val="clear" w:color="auto" w:fill="FFFFFF"/>
          <w:lang w:eastAsia="it-IT"/>
        </w:rPr>
        <w:t>,</w:t>
      </w:r>
      <w:r w:rsidR="00DC30E6" w:rsidRPr="000B038B">
        <w:rPr>
          <w:rFonts w:eastAsia="Times New Roman" w:cstheme="minorHAnsi"/>
          <w:sz w:val="24"/>
          <w:szCs w:val="24"/>
          <w:shd w:val="clear" w:color="auto" w:fill="FFFFFF"/>
          <w:lang w:eastAsia="it-IT"/>
        </w:rPr>
        <w:t xml:space="preserve"> </w:t>
      </w:r>
      <w:r w:rsidRPr="000B038B">
        <w:rPr>
          <w:rFonts w:eastAsia="Times New Roman" w:cstheme="minorHAnsi"/>
          <w:sz w:val="24"/>
          <w:szCs w:val="24"/>
          <w:shd w:val="clear" w:color="auto" w:fill="FFFFFF"/>
          <w:lang w:eastAsia="it-IT"/>
        </w:rPr>
        <w:t>freme per riappropriarsi del proprio potere di decidere chi mettere alla guida della nazione.</w:t>
      </w:r>
    </w:p>
    <w:p w:rsidR="00CD6ED3" w:rsidRDefault="000F57E9" w:rsidP="00DC30E6">
      <w:pPr>
        <w:spacing w:after="0" w:line="22" w:lineRule="atLeast"/>
        <w:jc w:val="both"/>
        <w:rPr>
          <w:rFonts w:eastAsia="Times New Roman" w:cstheme="minorHAnsi"/>
          <w:sz w:val="24"/>
          <w:szCs w:val="24"/>
          <w:shd w:val="clear" w:color="auto" w:fill="FFFFFF"/>
          <w:lang w:eastAsia="it-IT"/>
        </w:rPr>
      </w:pPr>
      <w:r w:rsidRPr="000B038B">
        <w:rPr>
          <w:rFonts w:eastAsia="Times New Roman" w:cstheme="minorHAnsi"/>
          <w:sz w:val="24"/>
          <w:szCs w:val="24"/>
          <w:shd w:val="clear" w:color="auto" w:fill="FFFFFF"/>
          <w:lang w:eastAsia="it-IT"/>
        </w:rPr>
        <w:t xml:space="preserve">Può sembrare paradossale che all’indomani della </w:t>
      </w:r>
      <w:r w:rsidRPr="00CD6ED3">
        <w:rPr>
          <w:rFonts w:eastAsia="Times New Roman" w:cstheme="minorHAnsi"/>
          <w:b/>
          <w:sz w:val="24"/>
          <w:szCs w:val="24"/>
          <w:shd w:val="clear" w:color="auto" w:fill="FFFFFF"/>
          <w:lang w:eastAsia="it-IT"/>
        </w:rPr>
        <w:t>sentenza della Corte Costituzionale del 23 gennaio sull’Italicum</w:t>
      </w:r>
      <w:r w:rsidRPr="000B038B">
        <w:rPr>
          <w:rFonts w:eastAsia="Times New Roman" w:cstheme="minorHAnsi"/>
          <w:sz w:val="24"/>
          <w:szCs w:val="24"/>
          <w:shd w:val="clear" w:color="auto" w:fill="FFFFFF"/>
          <w:lang w:eastAsia="it-IT"/>
        </w:rPr>
        <w:t xml:space="preserve"> – che per altro è “suscettibile di immediata applicazione (quindi, senza ulteriori interventi del Parlamento - le grida di “al voto! Al voto!” si siano un po’ affievolite da parte dei gruppi politici di opposizione</w:t>
      </w:r>
      <w:r w:rsidR="00DC30E6">
        <w:rPr>
          <w:rFonts w:eastAsia="Times New Roman" w:cstheme="minorHAnsi"/>
          <w:sz w:val="24"/>
          <w:szCs w:val="24"/>
          <w:shd w:val="clear" w:color="auto" w:fill="FFFFFF"/>
          <w:lang w:eastAsia="it-IT"/>
        </w:rPr>
        <w:t xml:space="preserve">. </w:t>
      </w:r>
    </w:p>
    <w:p w:rsidR="00CD6ED3" w:rsidRDefault="00DC30E6" w:rsidP="00DC30E6">
      <w:pPr>
        <w:spacing w:after="0" w:line="22" w:lineRule="atLeast"/>
        <w:jc w:val="both"/>
        <w:rPr>
          <w:rFonts w:eastAsia="Times New Roman" w:cstheme="minorHAnsi"/>
          <w:sz w:val="24"/>
          <w:szCs w:val="24"/>
          <w:shd w:val="clear" w:color="auto" w:fill="FFFFFF"/>
          <w:lang w:eastAsia="it-IT"/>
        </w:rPr>
      </w:pPr>
      <w:r>
        <w:rPr>
          <w:rFonts w:eastAsia="Times New Roman" w:cstheme="minorHAnsi"/>
          <w:sz w:val="24"/>
          <w:szCs w:val="24"/>
          <w:shd w:val="clear" w:color="auto" w:fill="FFFFFF"/>
          <w:lang w:eastAsia="it-IT"/>
        </w:rPr>
        <w:t xml:space="preserve">Ma le motivazioni ci sono: intanto, </w:t>
      </w:r>
      <w:r w:rsidR="00CD6ED3">
        <w:rPr>
          <w:rFonts w:eastAsia="Times New Roman" w:cstheme="minorHAnsi"/>
          <w:sz w:val="24"/>
          <w:szCs w:val="24"/>
          <w:shd w:val="clear" w:color="auto" w:fill="FFFFFF"/>
          <w:lang w:eastAsia="it-IT"/>
        </w:rPr>
        <w:t xml:space="preserve">tutte le formazioni politiche </w:t>
      </w:r>
      <w:r>
        <w:rPr>
          <w:rFonts w:eastAsia="Times New Roman" w:cstheme="minorHAnsi"/>
          <w:sz w:val="24"/>
          <w:szCs w:val="24"/>
          <w:shd w:val="clear" w:color="auto" w:fill="FFFFFF"/>
          <w:lang w:eastAsia="it-IT"/>
        </w:rPr>
        <w:t xml:space="preserve">sono </w:t>
      </w:r>
      <w:r w:rsidR="000F57E9" w:rsidRPr="000B038B">
        <w:rPr>
          <w:rFonts w:eastAsia="Times New Roman" w:cstheme="minorHAnsi"/>
          <w:sz w:val="24"/>
          <w:szCs w:val="24"/>
          <w:shd w:val="clear" w:color="auto" w:fill="FFFFFF"/>
          <w:lang w:eastAsia="it-IT"/>
        </w:rPr>
        <w:t>in attesa di vedere gli sviluppi della scissione-PD</w:t>
      </w:r>
      <w:r w:rsidR="00CD6ED3">
        <w:rPr>
          <w:rFonts w:eastAsia="Times New Roman" w:cstheme="minorHAnsi"/>
          <w:sz w:val="24"/>
          <w:szCs w:val="24"/>
          <w:shd w:val="clear" w:color="auto" w:fill="FFFFFF"/>
          <w:lang w:eastAsia="it-IT"/>
        </w:rPr>
        <w:t xml:space="preserve">, che sta generando incertezza assoluta nei </w:t>
      </w:r>
      <w:r w:rsidR="00CD6ED3" w:rsidRPr="00CD6ED3">
        <w:rPr>
          <w:rFonts w:eastAsia="Times New Roman" w:cstheme="minorHAnsi"/>
          <w:b/>
          <w:sz w:val="24"/>
          <w:szCs w:val="24"/>
          <w:shd w:val="clear" w:color="auto" w:fill="FFFFFF"/>
          <w:lang w:eastAsia="it-IT"/>
        </w:rPr>
        <w:t>sondaggi elettorali</w:t>
      </w:r>
      <w:r w:rsidR="00CD6ED3">
        <w:rPr>
          <w:rFonts w:eastAsia="Times New Roman" w:cstheme="minorHAnsi"/>
          <w:sz w:val="24"/>
          <w:szCs w:val="24"/>
          <w:shd w:val="clear" w:color="auto" w:fill="FFFFFF"/>
          <w:lang w:eastAsia="it-IT"/>
        </w:rPr>
        <w:t>:</w:t>
      </w:r>
      <w:r w:rsidR="00CD6ED3" w:rsidRPr="000B038B">
        <w:rPr>
          <w:rFonts w:eastAsia="Times New Roman" w:cstheme="minorHAnsi"/>
          <w:sz w:val="24"/>
          <w:szCs w:val="24"/>
          <w:shd w:val="clear" w:color="auto" w:fill="FFFFFF"/>
          <w:lang w:eastAsia="it-IT"/>
        </w:rPr>
        <w:t xml:space="preserve"> </w:t>
      </w:r>
      <w:r w:rsidR="00CD6ED3">
        <w:rPr>
          <w:rFonts w:eastAsia="Times New Roman" w:cstheme="minorHAnsi"/>
          <w:sz w:val="24"/>
          <w:szCs w:val="24"/>
          <w:shd w:val="clear" w:color="auto" w:fill="FFFFFF"/>
          <w:lang w:eastAsia="it-IT"/>
        </w:rPr>
        <w:t>n</w:t>
      </w:r>
      <w:r w:rsidR="00CD6ED3" w:rsidRPr="000B038B">
        <w:rPr>
          <w:rFonts w:eastAsia="Times New Roman" w:cstheme="minorHAnsi"/>
          <w:sz w:val="24"/>
          <w:szCs w:val="24"/>
          <w:shd w:val="clear" w:color="auto" w:fill="FFFFFF"/>
          <w:lang w:eastAsia="it-IT"/>
        </w:rPr>
        <w:t>essuno ha più certezze, nemmeno i grillini, che pur trovandosi in cima alla graduatoria stanno dando segnali di insofferenza (in particolare verso la stampa) e stanno perdendo qualche pezzo in giro per l’Italia (elementi che forse andranno a coagularsi sul fronte Pisapia).</w:t>
      </w:r>
    </w:p>
    <w:p w:rsidR="000F57E9" w:rsidRPr="000B038B" w:rsidRDefault="00CD6ED3" w:rsidP="00DC30E6">
      <w:pPr>
        <w:spacing w:after="0" w:line="22" w:lineRule="atLeast"/>
        <w:jc w:val="both"/>
        <w:rPr>
          <w:rFonts w:eastAsia="Times New Roman" w:cstheme="minorHAnsi"/>
          <w:sz w:val="24"/>
          <w:szCs w:val="24"/>
          <w:shd w:val="clear" w:color="auto" w:fill="FFFFFF"/>
          <w:lang w:eastAsia="it-IT"/>
        </w:rPr>
      </w:pPr>
      <w:r>
        <w:rPr>
          <w:rFonts w:eastAsia="Times New Roman" w:cstheme="minorHAnsi"/>
          <w:sz w:val="24"/>
          <w:szCs w:val="24"/>
          <w:shd w:val="clear" w:color="auto" w:fill="FFFFFF"/>
          <w:lang w:eastAsia="it-IT"/>
        </w:rPr>
        <w:t>I</w:t>
      </w:r>
      <w:r w:rsidR="00DC30E6">
        <w:rPr>
          <w:rFonts w:eastAsia="Times New Roman" w:cstheme="minorHAnsi"/>
          <w:sz w:val="24"/>
          <w:szCs w:val="24"/>
          <w:shd w:val="clear" w:color="auto" w:fill="FFFFFF"/>
          <w:lang w:eastAsia="it-IT"/>
        </w:rPr>
        <w:t xml:space="preserve">noltre, </w:t>
      </w:r>
      <w:r w:rsidR="000F57E9" w:rsidRPr="000B038B">
        <w:rPr>
          <w:rFonts w:eastAsia="Times New Roman" w:cstheme="minorHAnsi"/>
          <w:sz w:val="24"/>
          <w:szCs w:val="24"/>
          <w:shd w:val="clear" w:color="auto" w:fill="FFFFFF"/>
          <w:lang w:eastAsia="it-IT"/>
        </w:rPr>
        <w:t xml:space="preserve">la </w:t>
      </w:r>
      <w:r w:rsidR="000F57E9" w:rsidRPr="00CD6ED3">
        <w:rPr>
          <w:rFonts w:eastAsia="Times New Roman" w:cstheme="minorHAnsi"/>
          <w:b/>
          <w:sz w:val="24"/>
          <w:szCs w:val="24"/>
          <w:shd w:val="clear" w:color="auto" w:fill="FFFFFF"/>
          <w:lang w:eastAsia="it-IT"/>
        </w:rPr>
        <w:t>nuova legge elettorale</w:t>
      </w:r>
      <w:r w:rsidR="000F57E9" w:rsidRPr="000B038B">
        <w:rPr>
          <w:rFonts w:eastAsia="Times New Roman" w:cstheme="minorHAnsi"/>
          <w:sz w:val="24"/>
          <w:szCs w:val="24"/>
          <w:shd w:val="clear" w:color="auto" w:fill="FFFFFF"/>
          <w:lang w:eastAsia="it-IT"/>
        </w:rPr>
        <w:t xml:space="preserve"> disegnata dalla Consulta </w:t>
      </w:r>
      <w:r w:rsidR="00DC30E6">
        <w:rPr>
          <w:rFonts w:eastAsia="Times New Roman" w:cstheme="minorHAnsi"/>
          <w:sz w:val="24"/>
          <w:szCs w:val="24"/>
          <w:shd w:val="clear" w:color="auto" w:fill="FFFFFF"/>
          <w:lang w:eastAsia="it-IT"/>
        </w:rPr>
        <w:t>ha creato una situazione di stallo, e so</w:t>
      </w:r>
      <w:r w:rsidR="000F57E9" w:rsidRPr="000B038B">
        <w:rPr>
          <w:rFonts w:eastAsia="Times New Roman" w:cstheme="minorHAnsi"/>
          <w:sz w:val="24"/>
          <w:szCs w:val="24"/>
          <w:shd w:val="clear" w:color="auto" w:fill="FFFFFF"/>
          <w:lang w:eastAsia="it-IT"/>
        </w:rPr>
        <w:t xml:space="preserve">prattutto </w:t>
      </w:r>
      <w:r w:rsidR="00DC30E6">
        <w:rPr>
          <w:rFonts w:eastAsia="Times New Roman" w:cstheme="minorHAnsi"/>
          <w:sz w:val="24"/>
          <w:szCs w:val="24"/>
          <w:shd w:val="clear" w:color="auto" w:fill="FFFFFF"/>
          <w:lang w:eastAsia="it-IT"/>
        </w:rPr>
        <w:t xml:space="preserve">non piace </w:t>
      </w:r>
      <w:r w:rsidR="000F57E9" w:rsidRPr="000B038B">
        <w:rPr>
          <w:rFonts w:eastAsia="Times New Roman" w:cstheme="minorHAnsi"/>
          <w:sz w:val="24"/>
          <w:szCs w:val="24"/>
          <w:shd w:val="clear" w:color="auto" w:fill="FFFFFF"/>
          <w:lang w:eastAsia="it-IT"/>
        </w:rPr>
        <w:t xml:space="preserve">alla gente comune. </w:t>
      </w:r>
      <w:r w:rsidR="00DC30E6">
        <w:rPr>
          <w:rFonts w:eastAsia="Times New Roman" w:cstheme="minorHAnsi"/>
          <w:sz w:val="24"/>
          <w:szCs w:val="24"/>
          <w:shd w:val="clear" w:color="auto" w:fill="FFFFFF"/>
          <w:lang w:eastAsia="it-IT"/>
        </w:rPr>
        <w:t xml:space="preserve">Un </w:t>
      </w:r>
      <w:r w:rsidR="000F57E9" w:rsidRPr="000B038B">
        <w:rPr>
          <w:rFonts w:eastAsia="Times New Roman" w:cstheme="minorHAnsi"/>
          <w:sz w:val="24"/>
          <w:szCs w:val="24"/>
          <w:shd w:val="clear" w:color="auto" w:fill="FFFFFF"/>
          <w:lang w:eastAsia="it-IT"/>
        </w:rPr>
        <w:t>recente sondaggio dice che il 47% degli italiani non condivide il ritorno al proporzionale in quanto lo ritiene l’anticamera dell’inciucio: visto che è stato abbattuto il premio di maggioranza, è facile il ritorno agli accordi sottobanco.</w:t>
      </w:r>
    </w:p>
    <w:p w:rsidR="000F57E9" w:rsidRPr="000B038B" w:rsidRDefault="00CD6ED3" w:rsidP="00DC30E6">
      <w:pPr>
        <w:spacing w:after="0" w:line="22" w:lineRule="atLeast"/>
        <w:jc w:val="both"/>
        <w:rPr>
          <w:rFonts w:eastAsia="Times New Roman" w:cstheme="minorHAnsi"/>
          <w:sz w:val="24"/>
          <w:szCs w:val="24"/>
          <w:shd w:val="clear" w:color="auto" w:fill="FFFFFF"/>
          <w:lang w:eastAsia="it-IT"/>
        </w:rPr>
      </w:pPr>
      <w:r>
        <w:rPr>
          <w:rFonts w:eastAsia="Times New Roman" w:cstheme="minorHAnsi"/>
          <w:sz w:val="24"/>
          <w:szCs w:val="24"/>
          <w:shd w:val="clear" w:color="auto" w:fill="FFFFFF"/>
          <w:lang w:eastAsia="it-IT"/>
        </w:rPr>
        <w:t>La</w:t>
      </w:r>
      <w:r w:rsidR="000F57E9" w:rsidRPr="000B038B">
        <w:rPr>
          <w:rFonts w:eastAsia="Times New Roman" w:cstheme="minorHAnsi"/>
          <w:sz w:val="24"/>
          <w:szCs w:val="24"/>
          <w:shd w:val="clear" w:color="auto" w:fill="FFFFFF"/>
          <w:lang w:eastAsia="it-IT"/>
        </w:rPr>
        <w:t xml:space="preserve"> sente</w:t>
      </w:r>
      <w:r>
        <w:rPr>
          <w:rFonts w:eastAsia="Times New Roman" w:cstheme="minorHAnsi"/>
          <w:sz w:val="24"/>
          <w:szCs w:val="24"/>
          <w:shd w:val="clear" w:color="auto" w:fill="FFFFFF"/>
          <w:lang w:eastAsia="it-IT"/>
        </w:rPr>
        <w:t xml:space="preserve">nza della Corte Costituzionale ha decretato </w:t>
      </w:r>
      <w:r w:rsidR="000F57E9" w:rsidRPr="000B038B">
        <w:rPr>
          <w:rFonts w:eastAsia="Times New Roman" w:cstheme="minorHAnsi"/>
          <w:sz w:val="24"/>
          <w:szCs w:val="24"/>
          <w:shd w:val="clear" w:color="auto" w:fill="FFFFFF"/>
          <w:lang w:eastAsia="it-IT"/>
        </w:rPr>
        <w:t xml:space="preserve">il no al ballottaggio e il si al premio di maggioranza a favore della lista che alle elezioni ottenga il 40% dei voti – traguardo impossibile per tutti, cosicchè i seggi saranno poi distribuiti su base proporzionale </w:t>
      </w:r>
      <w:r>
        <w:rPr>
          <w:rFonts w:eastAsia="Times New Roman" w:cstheme="minorHAnsi"/>
          <w:sz w:val="24"/>
          <w:szCs w:val="24"/>
          <w:shd w:val="clear" w:color="auto" w:fill="FFFFFF"/>
          <w:lang w:eastAsia="it-IT"/>
        </w:rPr>
        <w:t>–</w:t>
      </w:r>
      <w:r w:rsidR="000F57E9" w:rsidRPr="000B038B">
        <w:rPr>
          <w:rFonts w:eastAsia="Times New Roman" w:cstheme="minorHAnsi"/>
          <w:sz w:val="24"/>
          <w:szCs w:val="24"/>
          <w:shd w:val="clear" w:color="auto" w:fill="FFFFFF"/>
          <w:lang w:eastAsia="it-IT"/>
        </w:rPr>
        <w:t xml:space="preserve"> </w:t>
      </w:r>
      <w:r>
        <w:rPr>
          <w:rFonts w:eastAsia="Times New Roman" w:cstheme="minorHAnsi"/>
          <w:sz w:val="24"/>
          <w:szCs w:val="24"/>
          <w:shd w:val="clear" w:color="auto" w:fill="FFFFFF"/>
          <w:lang w:eastAsia="it-IT"/>
        </w:rPr>
        <w:t>bocciando inoltre la</w:t>
      </w:r>
      <w:r w:rsidR="000F57E9" w:rsidRPr="000B038B">
        <w:rPr>
          <w:rFonts w:eastAsia="Times New Roman" w:cstheme="minorHAnsi"/>
          <w:sz w:val="24"/>
          <w:szCs w:val="24"/>
          <w:shd w:val="clear" w:color="auto" w:fill="FFFFFF"/>
          <w:lang w:eastAsia="it-IT"/>
        </w:rPr>
        <w:t xml:space="preserve"> norma sulle cosiddette pluri-candidature dei capilista, che consentiva a quest’ultimi di presentarsi in una pluralità di collegi e di scegliere poi su base volontaria dove far valere la loro elezione. Una disposizione a tutto vantaggio dei partiti, che in questo modo avrebbero avuto maggiore voce in capitolo in merito all’ingresso alla Camera dei primi non eletti nei vari collegi. Ciò non potrà più accadere: le pluri-candidature sono state confermate dalla Corte che però ha stabilito come la scelta debba necessariamente avvenire tramite sorteggio.</w:t>
      </w:r>
    </w:p>
    <w:p w:rsidR="000F57E9" w:rsidRPr="000B038B" w:rsidRDefault="000F57E9" w:rsidP="00DC30E6">
      <w:pPr>
        <w:spacing w:after="0" w:line="22" w:lineRule="atLeast"/>
        <w:jc w:val="both"/>
        <w:rPr>
          <w:rFonts w:eastAsia="Times New Roman" w:cstheme="minorHAnsi"/>
          <w:sz w:val="24"/>
          <w:szCs w:val="24"/>
          <w:shd w:val="clear" w:color="auto" w:fill="FFFFFF"/>
          <w:lang w:eastAsia="it-IT"/>
        </w:rPr>
      </w:pPr>
      <w:r w:rsidRPr="000B038B">
        <w:rPr>
          <w:rFonts w:eastAsia="Times New Roman" w:cstheme="minorHAnsi"/>
          <w:sz w:val="24"/>
          <w:szCs w:val="24"/>
          <w:shd w:val="clear" w:color="auto" w:fill="FFFFFF"/>
          <w:lang w:eastAsia="it-IT"/>
        </w:rPr>
        <w:t xml:space="preserve">Le </w:t>
      </w:r>
      <w:r w:rsidRPr="00CD6ED3">
        <w:rPr>
          <w:rFonts w:eastAsia="Times New Roman" w:cstheme="minorHAnsi"/>
          <w:b/>
          <w:sz w:val="24"/>
          <w:szCs w:val="24"/>
          <w:shd w:val="clear" w:color="auto" w:fill="FFFFFF"/>
          <w:lang w:eastAsia="it-IT"/>
        </w:rPr>
        <w:t>motivazioni alla sentenza</w:t>
      </w:r>
      <w:r w:rsidRPr="000B038B">
        <w:rPr>
          <w:rFonts w:eastAsia="Times New Roman" w:cstheme="minorHAnsi"/>
          <w:sz w:val="24"/>
          <w:szCs w:val="24"/>
          <w:shd w:val="clear" w:color="auto" w:fill="FFFFFF"/>
          <w:lang w:eastAsia="it-IT"/>
        </w:rPr>
        <w:t xml:space="preserve"> successivamente rese note, hanno avuto tutto il sapore di una “alzata di spalle” da parte della Corte, che si è voluta cavar fuori dalle beghe politiche dando solo un indirizzo di massima. Della serie: fate vobis.</w:t>
      </w:r>
    </w:p>
    <w:p w:rsidR="000F57E9" w:rsidRPr="000B038B" w:rsidRDefault="000F57E9" w:rsidP="00DC30E6">
      <w:pPr>
        <w:spacing w:after="0" w:line="22" w:lineRule="atLeast"/>
        <w:jc w:val="both"/>
        <w:rPr>
          <w:rFonts w:eastAsia="Times New Roman" w:cstheme="minorHAnsi"/>
          <w:sz w:val="24"/>
          <w:szCs w:val="24"/>
          <w:shd w:val="clear" w:color="auto" w:fill="FFFFFF"/>
          <w:lang w:eastAsia="it-IT"/>
        </w:rPr>
      </w:pPr>
      <w:r w:rsidRPr="000B038B">
        <w:rPr>
          <w:rFonts w:eastAsia="Times New Roman" w:cstheme="minorHAnsi"/>
          <w:sz w:val="24"/>
          <w:szCs w:val="24"/>
          <w:shd w:val="clear" w:color="auto" w:fill="FFFFFF"/>
          <w:lang w:eastAsia="it-IT"/>
        </w:rPr>
        <w:t>“</w:t>
      </w:r>
      <w:r w:rsidRPr="00DC30E6">
        <w:rPr>
          <w:rFonts w:eastAsia="Times New Roman" w:cstheme="minorHAnsi"/>
          <w:i/>
          <w:sz w:val="24"/>
          <w:szCs w:val="24"/>
          <w:shd w:val="clear" w:color="auto" w:fill="FFFFFF"/>
          <w:lang w:eastAsia="it-IT"/>
        </w:rPr>
        <w:t>La Costituzione</w:t>
      </w:r>
      <w:r w:rsidRPr="000B038B">
        <w:rPr>
          <w:rFonts w:eastAsia="Times New Roman" w:cstheme="minorHAnsi"/>
          <w:sz w:val="24"/>
          <w:szCs w:val="24"/>
          <w:shd w:val="clear" w:color="auto" w:fill="FFFFFF"/>
          <w:lang w:eastAsia="it-IT"/>
        </w:rPr>
        <w:t xml:space="preserve"> – affermano i giudici della consulta - </w:t>
      </w:r>
      <w:r w:rsidRPr="00DC30E6">
        <w:rPr>
          <w:rFonts w:eastAsia="Times New Roman" w:cstheme="minorHAnsi"/>
          <w:i/>
          <w:sz w:val="24"/>
          <w:szCs w:val="24"/>
          <w:shd w:val="clear" w:color="auto" w:fill="FFFFFF"/>
          <w:lang w:eastAsia="it-IT"/>
        </w:rPr>
        <w:t>se non impone al legislatore di introdurre, per i due rami del Parlamento, sistemi elettorali identici, tuttavia esige che, al fine di non compromettere il corretto funzionamento della forma di governo parlamentare, i sistemi adottati, pur se differenti, non devono ostacolare, all’esito delle elezioni, la formazione di maggioranze parlamentari omogenee</w:t>
      </w:r>
      <w:r w:rsidRPr="000B038B">
        <w:rPr>
          <w:rFonts w:eastAsia="Times New Roman" w:cstheme="minorHAnsi"/>
          <w:sz w:val="24"/>
          <w:szCs w:val="24"/>
          <w:shd w:val="clear" w:color="auto" w:fill="FFFFFF"/>
          <w:lang w:eastAsia="it-IT"/>
        </w:rPr>
        <w:t xml:space="preserve">”. </w:t>
      </w:r>
    </w:p>
    <w:p w:rsidR="00DC30E6" w:rsidRDefault="00DC30E6" w:rsidP="00DC30E6">
      <w:pPr>
        <w:spacing w:after="0" w:line="22" w:lineRule="atLeast"/>
        <w:jc w:val="both"/>
        <w:rPr>
          <w:rFonts w:eastAsia="Times New Roman" w:cstheme="minorHAnsi"/>
          <w:sz w:val="24"/>
          <w:szCs w:val="24"/>
          <w:shd w:val="clear" w:color="auto" w:fill="FFFFFF"/>
          <w:lang w:eastAsia="it-IT"/>
        </w:rPr>
      </w:pPr>
    </w:p>
    <w:p w:rsidR="00DC30E6" w:rsidRDefault="00DC30E6" w:rsidP="00DC30E6">
      <w:pPr>
        <w:spacing w:after="0" w:line="22" w:lineRule="atLeast"/>
        <w:jc w:val="both"/>
        <w:rPr>
          <w:rFonts w:eastAsia="Times New Roman" w:cstheme="minorHAnsi"/>
          <w:sz w:val="24"/>
          <w:szCs w:val="24"/>
          <w:shd w:val="clear" w:color="auto" w:fill="FFFFFF"/>
          <w:lang w:eastAsia="it-IT"/>
        </w:rPr>
      </w:pPr>
    </w:p>
    <w:p w:rsidR="00DC30E6" w:rsidRDefault="00DC30E6" w:rsidP="00DC30E6">
      <w:pPr>
        <w:spacing w:after="0" w:line="22" w:lineRule="atLeast"/>
        <w:jc w:val="both"/>
        <w:rPr>
          <w:rFonts w:eastAsia="Times New Roman" w:cstheme="minorHAnsi"/>
          <w:sz w:val="24"/>
          <w:szCs w:val="24"/>
          <w:shd w:val="clear" w:color="auto" w:fill="FFFFFF"/>
          <w:lang w:eastAsia="it-IT"/>
        </w:rPr>
      </w:pPr>
    </w:p>
    <w:p w:rsidR="000F57E9" w:rsidRPr="006574AF" w:rsidRDefault="000F57E9" w:rsidP="00DC30E6">
      <w:pPr>
        <w:spacing w:after="0" w:line="22" w:lineRule="atLeast"/>
        <w:jc w:val="both"/>
        <w:rPr>
          <w:rFonts w:eastAsia="Times New Roman" w:cstheme="minorHAnsi"/>
          <w:sz w:val="24"/>
          <w:szCs w:val="24"/>
          <w:shd w:val="clear" w:color="auto" w:fill="FFFFFF"/>
          <w:lang w:eastAsia="it-IT"/>
        </w:rPr>
      </w:pPr>
      <w:r w:rsidRPr="000B038B">
        <w:rPr>
          <w:rFonts w:eastAsia="Times New Roman" w:cstheme="minorHAnsi"/>
          <w:sz w:val="24"/>
          <w:szCs w:val="24"/>
          <w:shd w:val="clear" w:color="auto" w:fill="FFFFFF"/>
          <w:lang w:eastAsia="it-IT"/>
        </w:rPr>
        <w:t xml:space="preserve">Sta di fatto che della nuova legge elettorale non se ne sa più nulla. </w:t>
      </w:r>
      <w:r>
        <w:rPr>
          <w:rFonts w:eastAsia="Times New Roman" w:cstheme="minorHAnsi"/>
          <w:sz w:val="24"/>
          <w:szCs w:val="24"/>
          <w:shd w:val="clear" w:color="auto" w:fill="FFFFFF"/>
          <w:lang w:eastAsia="it-IT"/>
        </w:rPr>
        <w:t>Ed è probabilmente anche per questo che Gentiloni dice serenamente di poter arrivare alla scadenza del mandato. E’ un immobilismo figlio di una strategia di comodo, sebbene si debba pure riconoscere che le emergenze attuali sono tante e tali (diciamo pure colpevoli) da costringere il legislatore ad un vero e proprio tour de force.</w:t>
      </w:r>
    </w:p>
    <w:p w:rsidR="000F57E9" w:rsidRDefault="000F57E9" w:rsidP="00DC30E6">
      <w:pPr>
        <w:spacing w:after="0" w:line="22" w:lineRule="atLeast"/>
        <w:jc w:val="both"/>
        <w:rPr>
          <w:sz w:val="24"/>
          <w:szCs w:val="24"/>
        </w:rPr>
      </w:pPr>
      <w:r>
        <w:rPr>
          <w:sz w:val="24"/>
          <w:szCs w:val="24"/>
        </w:rPr>
        <w:t>Tanto per cominciare, è arrivata una tegola dalla UE: s</w:t>
      </w:r>
      <w:r w:rsidRPr="00397CD5">
        <w:rPr>
          <w:sz w:val="24"/>
          <w:szCs w:val="24"/>
        </w:rPr>
        <w:t>e entro fine aprile il governo non dovesse attuare una correzione dei conti pubblici per 3,4 miliardi, la Commissione Europea attiverà</w:t>
      </w:r>
      <w:r>
        <w:rPr>
          <w:sz w:val="24"/>
          <w:szCs w:val="24"/>
        </w:rPr>
        <w:t>, entro maggio,</w:t>
      </w:r>
      <w:r w:rsidRPr="00397CD5">
        <w:rPr>
          <w:sz w:val="24"/>
          <w:szCs w:val="24"/>
        </w:rPr>
        <w:t xml:space="preserve"> una </w:t>
      </w:r>
      <w:r w:rsidRPr="00CD6ED3">
        <w:rPr>
          <w:b/>
          <w:sz w:val="24"/>
          <w:szCs w:val="24"/>
        </w:rPr>
        <w:t>procedura di infrazione nei confronti dell'Italia</w:t>
      </w:r>
      <w:r w:rsidRPr="00397CD5">
        <w:rPr>
          <w:sz w:val="24"/>
          <w:szCs w:val="24"/>
        </w:rPr>
        <w:t xml:space="preserve"> per il mancato rispetto della regola del debito. il governo </w:t>
      </w:r>
      <w:r>
        <w:rPr>
          <w:sz w:val="24"/>
          <w:szCs w:val="24"/>
        </w:rPr>
        <w:t xml:space="preserve">deve dunque attuare </w:t>
      </w:r>
      <w:r w:rsidRPr="00397CD5">
        <w:rPr>
          <w:sz w:val="24"/>
          <w:szCs w:val="24"/>
        </w:rPr>
        <w:t>le misure per la</w:t>
      </w:r>
      <w:r>
        <w:rPr>
          <w:sz w:val="24"/>
          <w:szCs w:val="24"/>
        </w:rPr>
        <w:t xml:space="preserve"> correzione dei conti pubblici </w:t>
      </w:r>
      <w:r w:rsidRPr="00397CD5">
        <w:rPr>
          <w:sz w:val="24"/>
          <w:szCs w:val="24"/>
        </w:rPr>
        <w:t xml:space="preserve">di almeno lo 0,2% del </w:t>
      </w:r>
      <w:r>
        <w:rPr>
          <w:sz w:val="24"/>
          <w:szCs w:val="24"/>
        </w:rPr>
        <w:t>P</w:t>
      </w:r>
      <w:r w:rsidRPr="00397CD5">
        <w:rPr>
          <w:sz w:val="24"/>
          <w:szCs w:val="24"/>
        </w:rPr>
        <w:t>il en</w:t>
      </w:r>
      <w:r>
        <w:rPr>
          <w:sz w:val="24"/>
          <w:szCs w:val="24"/>
        </w:rPr>
        <w:t>tro il mese di aprile.</w:t>
      </w:r>
    </w:p>
    <w:p w:rsidR="000F57E9" w:rsidRDefault="000F57E9" w:rsidP="00DC30E6">
      <w:pPr>
        <w:spacing w:after="0" w:line="22" w:lineRule="atLeast"/>
        <w:jc w:val="both"/>
        <w:rPr>
          <w:rFonts w:eastAsia="Times New Roman" w:cstheme="minorHAnsi"/>
          <w:sz w:val="24"/>
          <w:szCs w:val="24"/>
          <w:shd w:val="clear" w:color="auto" w:fill="FFFFFF"/>
          <w:lang w:eastAsia="it-IT"/>
        </w:rPr>
      </w:pPr>
      <w:r w:rsidRPr="004279F1">
        <w:rPr>
          <w:sz w:val="24"/>
          <w:szCs w:val="24"/>
        </w:rPr>
        <w:t xml:space="preserve">E’ un altro di quei segnali </w:t>
      </w:r>
      <w:r w:rsidR="00CD6ED3">
        <w:rPr>
          <w:sz w:val="24"/>
          <w:szCs w:val="24"/>
        </w:rPr>
        <w:t>di un Paese</w:t>
      </w:r>
      <w:r w:rsidRPr="004279F1">
        <w:rPr>
          <w:sz w:val="24"/>
          <w:szCs w:val="24"/>
        </w:rPr>
        <w:t xml:space="preserve"> che va a rotoli, mentre la politica ha tutt’altre cose a cui pensare. Il problema è capire da dove usciranno fuori questi soldi</w:t>
      </w:r>
      <w:r w:rsidRPr="004279F1">
        <w:rPr>
          <w:rFonts w:eastAsia="Times New Roman" w:cstheme="minorHAnsi"/>
          <w:sz w:val="24"/>
          <w:szCs w:val="24"/>
          <w:shd w:val="clear" w:color="auto" w:fill="FFFFFF"/>
          <w:lang w:eastAsia="it-IT"/>
        </w:rPr>
        <w:t xml:space="preserve">, senza deprimere ulteriormente l'economia. Il nostro debito pubblico nel 2016 è salito a quota 2.218 miliardi, </w:t>
      </w:r>
      <w:r>
        <w:rPr>
          <w:rFonts w:eastAsia="Times New Roman" w:cstheme="minorHAnsi"/>
          <w:sz w:val="24"/>
          <w:szCs w:val="24"/>
          <w:shd w:val="clear" w:color="auto" w:fill="FFFFFF"/>
          <w:lang w:eastAsia="it-IT"/>
        </w:rPr>
        <w:t>45 in più dell'anno precedente.</w:t>
      </w:r>
    </w:p>
    <w:p w:rsidR="000F57E9" w:rsidRPr="006574AF" w:rsidRDefault="000F57E9" w:rsidP="00DC30E6">
      <w:pPr>
        <w:spacing w:after="0" w:line="22" w:lineRule="atLeast"/>
        <w:jc w:val="both"/>
        <w:rPr>
          <w:rFonts w:eastAsia="Times New Roman" w:cstheme="minorHAnsi"/>
          <w:sz w:val="24"/>
          <w:szCs w:val="24"/>
          <w:shd w:val="clear" w:color="auto" w:fill="FFFFFF"/>
          <w:lang w:eastAsia="it-IT"/>
        </w:rPr>
      </w:pPr>
      <w:r w:rsidRPr="006574AF">
        <w:rPr>
          <w:rFonts w:eastAsia="Times New Roman" w:cstheme="minorHAnsi"/>
          <w:sz w:val="24"/>
          <w:szCs w:val="24"/>
          <w:lang w:eastAsia="it-IT"/>
        </w:rPr>
        <w:t>Come se non bastasse, l</w:t>
      </w:r>
      <w:r w:rsidRPr="006574AF">
        <w:rPr>
          <w:rFonts w:eastAsia="Times New Roman" w:cstheme="minorHAnsi"/>
          <w:sz w:val="24"/>
          <w:szCs w:val="24"/>
          <w:shd w:val="clear" w:color="auto" w:fill="FFFFFF"/>
          <w:lang w:eastAsia="it-IT"/>
        </w:rPr>
        <w:t>e sofferenze delle banche sono cresciute del 24,6%, a fine dicembre siamo tornati a quota 86,8 miliardi; mentre Mps resta sospesa, le due banche venete senza più il sostegno di Atlante sono costrette a chiedere il salvataggio dello Stato.</w:t>
      </w:r>
    </w:p>
    <w:p w:rsidR="000F57E9" w:rsidRDefault="000F57E9" w:rsidP="00DC30E6">
      <w:pPr>
        <w:spacing w:after="0" w:line="22" w:lineRule="atLeast"/>
        <w:jc w:val="both"/>
        <w:rPr>
          <w:rFonts w:eastAsia="Times New Roman" w:cstheme="minorHAnsi"/>
          <w:sz w:val="24"/>
          <w:szCs w:val="24"/>
          <w:shd w:val="clear" w:color="auto" w:fill="FFFFFF"/>
          <w:lang w:eastAsia="it-IT"/>
        </w:rPr>
      </w:pPr>
      <w:r w:rsidRPr="006574AF">
        <w:rPr>
          <w:rFonts w:eastAsia="Times New Roman" w:cstheme="minorHAnsi"/>
          <w:sz w:val="24"/>
          <w:szCs w:val="24"/>
          <w:shd w:val="clear" w:color="auto" w:fill="FFFFFF"/>
          <w:lang w:eastAsia="it-IT"/>
        </w:rPr>
        <w:t xml:space="preserve">Scendendo la scala, di situazioni al limite ce ne sono tante altre, ma </w:t>
      </w:r>
      <w:r>
        <w:rPr>
          <w:rFonts w:eastAsia="Times New Roman" w:cstheme="minorHAnsi"/>
          <w:sz w:val="24"/>
          <w:szCs w:val="24"/>
          <w:shd w:val="clear" w:color="auto" w:fill="FFFFFF"/>
          <w:lang w:eastAsia="it-IT"/>
        </w:rPr>
        <w:t xml:space="preserve">questo governo non sembra </w:t>
      </w:r>
      <w:r w:rsidR="00DC30E6">
        <w:rPr>
          <w:rFonts w:eastAsia="Times New Roman" w:cstheme="minorHAnsi"/>
          <w:sz w:val="24"/>
          <w:szCs w:val="24"/>
          <w:shd w:val="clear" w:color="auto" w:fill="FFFFFF"/>
          <w:lang w:eastAsia="it-IT"/>
        </w:rPr>
        <w:t xml:space="preserve">avere altri obiettivi che non quello di </w:t>
      </w:r>
      <w:r w:rsidR="00661A6D">
        <w:rPr>
          <w:rFonts w:eastAsia="Times New Roman" w:cstheme="minorHAnsi"/>
          <w:sz w:val="24"/>
          <w:szCs w:val="24"/>
          <w:shd w:val="clear" w:color="auto" w:fill="FFFFFF"/>
          <w:lang w:eastAsia="it-IT"/>
        </w:rPr>
        <w:t>portare a compimento ciò che</w:t>
      </w:r>
      <w:r w:rsidRPr="006574AF">
        <w:rPr>
          <w:rFonts w:eastAsia="Times New Roman" w:cstheme="minorHAnsi"/>
          <w:sz w:val="24"/>
          <w:szCs w:val="24"/>
          <w:shd w:val="clear" w:color="auto" w:fill="FFFFFF"/>
          <w:lang w:eastAsia="it-IT"/>
        </w:rPr>
        <w:t xml:space="preserve"> Renzi aveva l</w:t>
      </w:r>
      <w:r>
        <w:rPr>
          <w:rFonts w:eastAsia="Times New Roman" w:cstheme="minorHAnsi"/>
          <w:sz w:val="24"/>
          <w:szCs w:val="24"/>
          <w:shd w:val="clear" w:color="auto" w:fill="FFFFFF"/>
          <w:lang w:eastAsia="it-IT"/>
        </w:rPr>
        <w:t>asciato in sospeso</w:t>
      </w:r>
      <w:r w:rsidR="00661A6D">
        <w:rPr>
          <w:rFonts w:eastAsia="Times New Roman" w:cstheme="minorHAnsi"/>
          <w:sz w:val="24"/>
          <w:szCs w:val="24"/>
          <w:shd w:val="clear" w:color="auto" w:fill="FFFFFF"/>
          <w:lang w:eastAsia="it-IT"/>
        </w:rPr>
        <w:t>,</w:t>
      </w:r>
      <w:r>
        <w:rPr>
          <w:rFonts w:eastAsia="Times New Roman" w:cstheme="minorHAnsi"/>
          <w:sz w:val="24"/>
          <w:szCs w:val="24"/>
          <w:shd w:val="clear" w:color="auto" w:fill="FFFFFF"/>
          <w:lang w:eastAsia="it-IT"/>
        </w:rPr>
        <w:t xml:space="preserve"> e poco altro.</w:t>
      </w:r>
    </w:p>
    <w:p w:rsidR="000F57E9" w:rsidRDefault="000F57E9" w:rsidP="00DC30E6">
      <w:pPr>
        <w:spacing w:after="0" w:line="22" w:lineRule="atLeast"/>
        <w:jc w:val="both"/>
        <w:rPr>
          <w:rFonts w:eastAsia="Times New Roman" w:cstheme="minorHAnsi"/>
          <w:sz w:val="24"/>
          <w:szCs w:val="24"/>
          <w:shd w:val="clear" w:color="auto" w:fill="FFFFFF"/>
          <w:lang w:eastAsia="it-IT"/>
        </w:rPr>
      </w:pPr>
    </w:p>
    <w:p w:rsidR="00661A6D" w:rsidRPr="00DE6CDD" w:rsidRDefault="00DC75E8" w:rsidP="002569D0">
      <w:pPr>
        <w:spacing w:after="60" w:line="22" w:lineRule="atLeast"/>
        <w:jc w:val="both"/>
        <w:rPr>
          <w:rFonts w:eastAsia="Times New Roman" w:cstheme="minorHAnsi"/>
          <w:b/>
          <w:sz w:val="24"/>
          <w:szCs w:val="24"/>
          <w:shd w:val="clear" w:color="auto" w:fill="FFFFFF"/>
          <w:lang w:eastAsia="it-IT"/>
        </w:rPr>
      </w:pPr>
      <w:r>
        <w:rPr>
          <w:rFonts w:eastAsia="Times New Roman" w:cstheme="minorHAnsi"/>
          <w:b/>
          <w:sz w:val="24"/>
          <w:szCs w:val="24"/>
          <w:shd w:val="clear" w:color="auto" w:fill="FFFFFF"/>
          <w:lang w:eastAsia="it-IT"/>
        </w:rPr>
        <w:t>Gli ultimi sviluppi dei decreti Madia</w:t>
      </w:r>
    </w:p>
    <w:p w:rsidR="000F57E9" w:rsidRDefault="000F57E9" w:rsidP="00DC30E6">
      <w:pPr>
        <w:spacing w:after="0" w:line="22" w:lineRule="atLeast"/>
        <w:jc w:val="both"/>
        <w:rPr>
          <w:rFonts w:eastAsia="Times New Roman" w:cstheme="minorHAnsi"/>
          <w:sz w:val="24"/>
          <w:szCs w:val="24"/>
          <w:shd w:val="clear" w:color="auto" w:fill="FFFFFF"/>
          <w:lang w:eastAsia="it-IT"/>
        </w:rPr>
      </w:pPr>
      <w:r>
        <w:rPr>
          <w:rFonts w:eastAsia="Times New Roman" w:cstheme="minorHAnsi"/>
          <w:sz w:val="24"/>
          <w:szCs w:val="24"/>
          <w:shd w:val="clear" w:color="auto" w:fill="FFFFFF"/>
          <w:lang w:eastAsia="it-IT"/>
        </w:rPr>
        <w:t xml:space="preserve">Per quanto riguarda la Legge Madia, dopo la demolizione che ne aveva fatto la Corte Costituzionale, è stato riproposto un nuovo testo </w:t>
      </w:r>
      <w:r w:rsidR="00661A6D">
        <w:rPr>
          <w:rFonts w:eastAsia="Times New Roman" w:cstheme="minorHAnsi"/>
          <w:sz w:val="24"/>
          <w:szCs w:val="24"/>
          <w:shd w:val="clear" w:color="auto" w:fill="FFFFFF"/>
          <w:lang w:eastAsia="it-IT"/>
        </w:rPr>
        <w:t xml:space="preserve">del decreto </w:t>
      </w:r>
      <w:r>
        <w:rPr>
          <w:rFonts w:eastAsia="Times New Roman" w:cstheme="minorHAnsi"/>
          <w:sz w:val="24"/>
          <w:szCs w:val="24"/>
          <w:shd w:val="clear" w:color="auto" w:fill="FFFFFF"/>
          <w:lang w:eastAsia="it-IT"/>
        </w:rPr>
        <w:t xml:space="preserve">riguardante </w:t>
      </w:r>
      <w:r w:rsidR="00DC75E8">
        <w:rPr>
          <w:rFonts w:eastAsia="Times New Roman" w:cstheme="minorHAnsi"/>
          <w:sz w:val="24"/>
          <w:szCs w:val="24"/>
          <w:shd w:val="clear" w:color="auto" w:fill="FFFFFF"/>
          <w:lang w:eastAsia="it-IT"/>
        </w:rPr>
        <w:t xml:space="preserve">anche </w:t>
      </w:r>
      <w:r>
        <w:rPr>
          <w:rFonts w:eastAsia="Times New Roman" w:cstheme="minorHAnsi"/>
          <w:sz w:val="24"/>
          <w:szCs w:val="24"/>
          <w:shd w:val="clear" w:color="auto" w:fill="FFFFFF"/>
          <w:lang w:eastAsia="it-IT"/>
        </w:rPr>
        <w:t xml:space="preserve">la </w:t>
      </w:r>
      <w:r w:rsidRPr="00CD6ED3">
        <w:rPr>
          <w:rFonts w:eastAsia="Times New Roman" w:cstheme="minorHAnsi"/>
          <w:b/>
          <w:sz w:val="24"/>
          <w:szCs w:val="24"/>
          <w:shd w:val="clear" w:color="auto" w:fill="FFFFFF"/>
          <w:lang w:eastAsia="it-IT"/>
        </w:rPr>
        <w:t>Pubblica Amministrazione</w:t>
      </w:r>
      <w:r>
        <w:rPr>
          <w:rFonts w:eastAsia="Times New Roman" w:cstheme="minorHAnsi"/>
          <w:sz w:val="24"/>
          <w:szCs w:val="24"/>
          <w:shd w:val="clear" w:color="auto" w:fill="FFFFFF"/>
          <w:lang w:eastAsia="it-IT"/>
        </w:rPr>
        <w:t xml:space="preserve">, che </w:t>
      </w:r>
      <w:r w:rsidR="00DC75E8">
        <w:rPr>
          <w:rFonts w:eastAsia="Times New Roman" w:cstheme="minorHAnsi"/>
          <w:sz w:val="24"/>
          <w:szCs w:val="24"/>
          <w:shd w:val="clear" w:color="auto" w:fill="FFFFFF"/>
          <w:lang w:eastAsia="it-IT"/>
        </w:rPr>
        <w:t xml:space="preserve">però </w:t>
      </w:r>
      <w:r>
        <w:rPr>
          <w:rFonts w:eastAsia="Times New Roman" w:cstheme="minorHAnsi"/>
          <w:sz w:val="24"/>
          <w:szCs w:val="24"/>
          <w:shd w:val="clear" w:color="auto" w:fill="FFFFFF"/>
          <w:lang w:eastAsia="it-IT"/>
        </w:rPr>
        <w:t>ha praticamente riscritto gran parte del precedente, aggirando così la censura della Consulta e sfornando una serie di disposizioni tendenti ancor più di prima a centralizzare i poteri della Pubblica Amministrazione.</w:t>
      </w:r>
    </w:p>
    <w:p w:rsidR="000F57E9" w:rsidRPr="008C0196" w:rsidRDefault="000F57E9" w:rsidP="00DC30E6">
      <w:pPr>
        <w:pStyle w:val="NormaleWeb"/>
        <w:shd w:val="clear" w:color="auto" w:fill="FFFFFF"/>
        <w:spacing w:before="0" w:beforeAutospacing="0" w:after="0" w:afterAutospacing="0" w:line="22" w:lineRule="atLeast"/>
        <w:jc w:val="both"/>
        <w:rPr>
          <w:rFonts w:asciiTheme="minorHAnsi" w:hAnsiTheme="minorHAnsi" w:cstheme="minorHAnsi"/>
        </w:rPr>
      </w:pPr>
      <w:r w:rsidRPr="008C0196">
        <w:rPr>
          <w:rFonts w:asciiTheme="minorHAnsi" w:hAnsiTheme="minorHAnsi" w:cstheme="minorHAnsi"/>
        </w:rPr>
        <w:t>In particolare:</w:t>
      </w:r>
    </w:p>
    <w:p w:rsidR="000F57E9" w:rsidRPr="00E84ABB" w:rsidRDefault="000F57E9" w:rsidP="00DC30E6">
      <w:pPr>
        <w:numPr>
          <w:ilvl w:val="0"/>
          <w:numId w:val="3"/>
        </w:numPr>
        <w:shd w:val="clear" w:color="auto" w:fill="FFFFFF"/>
        <w:spacing w:after="0" w:line="22" w:lineRule="atLeast"/>
        <w:ind w:left="284" w:hanging="284"/>
        <w:jc w:val="both"/>
        <w:textAlignment w:val="baseline"/>
        <w:rPr>
          <w:rFonts w:eastAsia="Times New Roman" w:cstheme="minorHAnsi"/>
          <w:color w:val="0C0C0F"/>
          <w:sz w:val="24"/>
          <w:szCs w:val="24"/>
          <w:lang w:eastAsia="it-IT"/>
        </w:rPr>
      </w:pPr>
      <w:r w:rsidRPr="00E84ABB">
        <w:rPr>
          <w:rFonts w:eastAsia="Times New Roman" w:cstheme="minorHAnsi"/>
          <w:color w:val="0C0C0F"/>
          <w:sz w:val="24"/>
          <w:szCs w:val="24"/>
          <w:lang w:eastAsia="it-IT"/>
        </w:rPr>
        <w:t>il progressivo superamento del concetto di “dotazione organica”,</w:t>
      </w:r>
      <w:r>
        <w:rPr>
          <w:rFonts w:eastAsia="Times New Roman" w:cstheme="minorHAnsi"/>
          <w:color w:val="0C0C0F"/>
          <w:sz w:val="24"/>
          <w:szCs w:val="24"/>
          <w:lang w:eastAsia="it-IT"/>
        </w:rPr>
        <w:t xml:space="preserve"> che implica un drastico ridimensionamento delle risorse, </w:t>
      </w:r>
      <w:r w:rsidRPr="00E84ABB">
        <w:rPr>
          <w:rFonts w:eastAsia="Times New Roman" w:cstheme="minorHAnsi"/>
          <w:color w:val="0C0C0F"/>
          <w:sz w:val="24"/>
          <w:szCs w:val="24"/>
          <w:lang w:eastAsia="it-IT"/>
        </w:rPr>
        <w:t>attraverso l’introduzione del nuovo strumento del “Piano triennale dei fabbisogni”; vengono inoltre definiti gli obiettivi di contenimento delle assunzioni, differenziati secondo gli effettivi fabbisogni e la rilevazione delle competenze dei dipendenti;</w:t>
      </w:r>
    </w:p>
    <w:p w:rsidR="000F57E9" w:rsidRPr="00DE6CDD" w:rsidRDefault="000F57E9" w:rsidP="00DC30E6">
      <w:pPr>
        <w:numPr>
          <w:ilvl w:val="0"/>
          <w:numId w:val="3"/>
        </w:numPr>
        <w:shd w:val="clear" w:color="auto" w:fill="FFFFFF"/>
        <w:spacing w:after="0" w:line="22" w:lineRule="atLeast"/>
        <w:ind w:left="284" w:hanging="284"/>
        <w:jc w:val="both"/>
        <w:textAlignment w:val="baseline"/>
        <w:rPr>
          <w:rFonts w:eastAsia="Times New Roman" w:cstheme="minorHAnsi"/>
          <w:color w:val="0C0C0F"/>
          <w:sz w:val="24"/>
          <w:szCs w:val="24"/>
          <w:lang w:eastAsia="it-IT"/>
        </w:rPr>
      </w:pPr>
      <w:r w:rsidRPr="00DE6CDD">
        <w:rPr>
          <w:rFonts w:eastAsia="Times New Roman" w:cstheme="minorHAnsi"/>
          <w:color w:val="0C0C0F"/>
          <w:sz w:val="24"/>
          <w:szCs w:val="24"/>
          <w:lang w:eastAsia="it-IT"/>
        </w:rPr>
        <w:t xml:space="preserve">è stato messo a regime il divieto per le </w:t>
      </w:r>
      <w:r w:rsidR="00DE6CDD" w:rsidRPr="00DE6CDD">
        <w:rPr>
          <w:rFonts w:eastAsia="Times New Roman" w:cstheme="minorHAnsi"/>
          <w:color w:val="0C0C0F"/>
          <w:sz w:val="24"/>
          <w:szCs w:val="24"/>
          <w:lang w:eastAsia="it-IT"/>
        </w:rPr>
        <w:t>pubbliche amministrazioni</w:t>
      </w:r>
      <w:r w:rsidRPr="00DE6CDD">
        <w:rPr>
          <w:rFonts w:eastAsia="Times New Roman" w:cstheme="minorHAnsi"/>
          <w:color w:val="0C0C0F"/>
          <w:sz w:val="24"/>
          <w:szCs w:val="24"/>
          <w:lang w:eastAsia="it-IT"/>
        </w:rPr>
        <w:t xml:space="preserve"> di stipulare contratti di collaborazione e </w:t>
      </w:r>
      <w:r w:rsidR="00661A6D" w:rsidRPr="00DE6CDD">
        <w:rPr>
          <w:rFonts w:eastAsia="Times New Roman" w:cstheme="minorHAnsi"/>
          <w:color w:val="0C0C0F"/>
          <w:sz w:val="24"/>
          <w:szCs w:val="24"/>
          <w:lang w:eastAsia="it-IT"/>
        </w:rPr>
        <w:t xml:space="preserve">sono state </w:t>
      </w:r>
      <w:r w:rsidRPr="00DE6CDD">
        <w:rPr>
          <w:rFonts w:eastAsia="Times New Roman" w:cstheme="minorHAnsi"/>
          <w:color w:val="0C0C0F"/>
          <w:sz w:val="24"/>
          <w:szCs w:val="24"/>
          <w:lang w:eastAsia="it-IT"/>
        </w:rPr>
        <w:t xml:space="preserve">introdotte procedure specifiche per l’assunzione a tempo indeterminato </w:t>
      </w:r>
      <w:r w:rsidR="00661A6D" w:rsidRPr="00DE6CDD">
        <w:rPr>
          <w:rFonts w:eastAsia="Times New Roman" w:cstheme="minorHAnsi"/>
          <w:color w:val="0C0C0F"/>
          <w:sz w:val="24"/>
          <w:szCs w:val="24"/>
          <w:lang w:eastAsia="it-IT"/>
        </w:rPr>
        <w:t>– sempre nella forma contrattualistica delle “tutele crescenti” (aberrante applicazione del Jobs Act al pubblico impiego!) che significa possibilità di licenziament</w:t>
      </w:r>
      <w:r w:rsidR="00DC75E8">
        <w:rPr>
          <w:rFonts w:eastAsia="Times New Roman" w:cstheme="minorHAnsi"/>
          <w:color w:val="0C0C0F"/>
          <w:sz w:val="24"/>
          <w:szCs w:val="24"/>
          <w:lang w:eastAsia="it-IT"/>
        </w:rPr>
        <w:t>i anche dopo brevi periodi di impego</w:t>
      </w:r>
      <w:r w:rsidR="00DE6CDD" w:rsidRPr="00DE6CDD">
        <w:rPr>
          <w:rFonts w:eastAsia="Times New Roman" w:cstheme="minorHAnsi"/>
          <w:color w:val="0C0C0F"/>
          <w:sz w:val="24"/>
          <w:szCs w:val="24"/>
          <w:lang w:eastAsia="it-IT"/>
        </w:rPr>
        <w:t xml:space="preserve"> - del</w:t>
      </w:r>
      <w:r w:rsidRPr="00DE6CDD">
        <w:rPr>
          <w:rFonts w:eastAsia="Times New Roman" w:cstheme="minorHAnsi"/>
          <w:color w:val="0C0C0F"/>
          <w:sz w:val="24"/>
          <w:szCs w:val="24"/>
          <w:lang w:eastAsia="it-IT"/>
        </w:rPr>
        <w:t xml:space="preserve"> personale in possesso dei requisiti;</w:t>
      </w:r>
    </w:p>
    <w:p w:rsidR="000F57E9" w:rsidRPr="00E84ABB" w:rsidRDefault="000F57E9" w:rsidP="00DC30E6">
      <w:pPr>
        <w:numPr>
          <w:ilvl w:val="0"/>
          <w:numId w:val="3"/>
        </w:numPr>
        <w:shd w:val="clear" w:color="auto" w:fill="FFFFFF"/>
        <w:spacing w:after="0" w:line="22" w:lineRule="atLeast"/>
        <w:ind w:left="284" w:hanging="284"/>
        <w:jc w:val="both"/>
        <w:textAlignment w:val="baseline"/>
        <w:rPr>
          <w:rFonts w:eastAsia="Times New Roman" w:cstheme="minorHAnsi"/>
          <w:color w:val="0C0C0F"/>
          <w:sz w:val="24"/>
          <w:szCs w:val="24"/>
          <w:lang w:eastAsia="it-IT"/>
        </w:rPr>
      </w:pPr>
      <w:r>
        <w:rPr>
          <w:rFonts w:eastAsia="Times New Roman" w:cstheme="minorHAnsi"/>
          <w:color w:val="0C0C0F"/>
          <w:sz w:val="24"/>
          <w:szCs w:val="24"/>
          <w:lang w:eastAsia="it-IT"/>
        </w:rPr>
        <w:t>introduzione</w:t>
      </w:r>
      <w:r w:rsidR="00DE6CDD">
        <w:rPr>
          <w:rFonts w:eastAsia="Times New Roman" w:cstheme="minorHAnsi"/>
          <w:color w:val="0C0C0F"/>
          <w:sz w:val="24"/>
          <w:szCs w:val="24"/>
          <w:lang w:eastAsia="it-IT"/>
        </w:rPr>
        <w:t>,</w:t>
      </w:r>
      <w:r>
        <w:rPr>
          <w:rFonts w:eastAsia="Times New Roman" w:cstheme="minorHAnsi"/>
          <w:color w:val="0C0C0F"/>
          <w:sz w:val="24"/>
          <w:szCs w:val="24"/>
          <w:lang w:eastAsia="it-IT"/>
        </w:rPr>
        <w:t xml:space="preserve"> tra i motivi di licenziamento</w:t>
      </w:r>
      <w:r w:rsidR="00DE6CDD">
        <w:rPr>
          <w:rFonts w:eastAsia="Times New Roman" w:cstheme="minorHAnsi"/>
          <w:color w:val="0C0C0F"/>
          <w:sz w:val="24"/>
          <w:szCs w:val="24"/>
          <w:lang w:eastAsia="it-IT"/>
        </w:rPr>
        <w:t>,</w:t>
      </w:r>
      <w:r>
        <w:rPr>
          <w:rFonts w:eastAsia="Times New Roman" w:cstheme="minorHAnsi"/>
          <w:color w:val="0C0C0F"/>
          <w:sz w:val="24"/>
          <w:szCs w:val="24"/>
          <w:lang w:eastAsia="it-IT"/>
        </w:rPr>
        <w:t xml:space="preserve"> dello scarso rendimento nell’esercizio dei compiti del dipendente</w:t>
      </w:r>
      <w:r w:rsidR="00DC75E8">
        <w:rPr>
          <w:rFonts w:eastAsia="Times New Roman" w:cstheme="minorHAnsi"/>
          <w:color w:val="0C0C0F"/>
          <w:sz w:val="24"/>
          <w:szCs w:val="24"/>
          <w:lang w:eastAsia="it-IT"/>
        </w:rPr>
        <w:t xml:space="preserve">; </w:t>
      </w:r>
      <w:r>
        <w:rPr>
          <w:rFonts w:eastAsia="Times New Roman" w:cstheme="minorHAnsi"/>
          <w:color w:val="0C0C0F"/>
          <w:sz w:val="24"/>
          <w:szCs w:val="24"/>
          <w:lang w:eastAsia="it-IT"/>
        </w:rPr>
        <w:t>infatti questo criterio, mutuato dalla contrattualistica privata, rappresenta quanto di più discrezionale e quindi arbitrario possa sussistere tra le cause della p</w:t>
      </w:r>
      <w:r w:rsidR="00661A6D">
        <w:rPr>
          <w:rFonts w:eastAsia="Times New Roman" w:cstheme="minorHAnsi"/>
          <w:color w:val="0C0C0F"/>
          <w:sz w:val="24"/>
          <w:szCs w:val="24"/>
          <w:lang w:eastAsia="it-IT"/>
        </w:rPr>
        <w:t>e</w:t>
      </w:r>
      <w:r>
        <w:rPr>
          <w:rFonts w:eastAsia="Times New Roman" w:cstheme="minorHAnsi"/>
          <w:color w:val="0C0C0F"/>
          <w:sz w:val="24"/>
          <w:szCs w:val="24"/>
          <w:lang w:eastAsia="it-IT"/>
        </w:rPr>
        <w:t>rdita del posto</w:t>
      </w:r>
      <w:r w:rsidR="00DC75E8">
        <w:rPr>
          <w:rFonts w:eastAsia="Times New Roman" w:cstheme="minorHAnsi"/>
          <w:color w:val="0C0C0F"/>
          <w:sz w:val="24"/>
          <w:szCs w:val="24"/>
          <w:lang w:eastAsia="it-IT"/>
        </w:rPr>
        <w:t xml:space="preserve"> di lavoro</w:t>
      </w:r>
      <w:r>
        <w:rPr>
          <w:rFonts w:eastAsia="Times New Roman" w:cstheme="minorHAnsi"/>
          <w:color w:val="0C0C0F"/>
          <w:sz w:val="24"/>
          <w:szCs w:val="24"/>
          <w:lang w:eastAsia="it-IT"/>
        </w:rPr>
        <w:t>, dato che la valutazione d</w:t>
      </w:r>
      <w:r w:rsidR="00DC75E8">
        <w:rPr>
          <w:rFonts w:eastAsia="Times New Roman" w:cstheme="minorHAnsi"/>
          <w:color w:val="0C0C0F"/>
          <w:sz w:val="24"/>
          <w:szCs w:val="24"/>
          <w:lang w:eastAsia="it-IT"/>
        </w:rPr>
        <w:t>ella</w:t>
      </w:r>
      <w:r>
        <w:rPr>
          <w:rFonts w:eastAsia="Times New Roman" w:cstheme="minorHAnsi"/>
          <w:color w:val="0C0C0F"/>
          <w:sz w:val="24"/>
          <w:szCs w:val="24"/>
          <w:lang w:eastAsia="it-IT"/>
        </w:rPr>
        <w:t xml:space="preserve"> sussistenza o meno di tale requisito resta totalmente affidata alla dirigenza delle rispettive amministrazioni</w:t>
      </w:r>
      <w:r w:rsidR="00DC75E8">
        <w:rPr>
          <w:rFonts w:eastAsia="Times New Roman" w:cstheme="minorHAnsi"/>
          <w:color w:val="0C0C0F"/>
          <w:sz w:val="24"/>
          <w:szCs w:val="24"/>
          <w:lang w:eastAsia="it-IT"/>
        </w:rPr>
        <w:t>.</w:t>
      </w:r>
    </w:p>
    <w:p w:rsidR="000F57E9" w:rsidRDefault="000F57E9" w:rsidP="00DC30E6">
      <w:pPr>
        <w:spacing w:after="0" w:line="22" w:lineRule="atLeast"/>
        <w:jc w:val="both"/>
        <w:rPr>
          <w:rFonts w:eastAsia="Times New Roman" w:cstheme="minorHAnsi"/>
          <w:sz w:val="24"/>
          <w:szCs w:val="24"/>
          <w:shd w:val="clear" w:color="auto" w:fill="FFFFFF"/>
          <w:lang w:eastAsia="it-IT"/>
        </w:rPr>
      </w:pPr>
    </w:p>
    <w:p w:rsidR="00DE6CDD" w:rsidRDefault="00DE6CDD" w:rsidP="00DC30E6">
      <w:pPr>
        <w:spacing w:after="0" w:line="22" w:lineRule="atLeast"/>
        <w:jc w:val="both"/>
        <w:rPr>
          <w:rFonts w:eastAsia="Times New Roman" w:cstheme="minorHAnsi"/>
          <w:sz w:val="24"/>
          <w:szCs w:val="24"/>
          <w:shd w:val="clear" w:color="auto" w:fill="FFFFFF"/>
          <w:lang w:eastAsia="it-IT"/>
        </w:rPr>
      </w:pPr>
    </w:p>
    <w:p w:rsidR="00DE6CDD" w:rsidRDefault="00DE6CDD" w:rsidP="00DC30E6">
      <w:pPr>
        <w:spacing w:after="0" w:line="22" w:lineRule="atLeast"/>
        <w:jc w:val="both"/>
        <w:rPr>
          <w:rFonts w:eastAsia="Times New Roman" w:cstheme="minorHAnsi"/>
          <w:sz w:val="24"/>
          <w:szCs w:val="24"/>
          <w:shd w:val="clear" w:color="auto" w:fill="FFFFFF"/>
          <w:lang w:eastAsia="it-IT"/>
        </w:rPr>
      </w:pPr>
    </w:p>
    <w:p w:rsidR="000F57E9" w:rsidRDefault="000F57E9" w:rsidP="00DC30E6">
      <w:pPr>
        <w:shd w:val="clear" w:color="auto" w:fill="FFFFFF"/>
        <w:spacing w:after="0" w:line="22" w:lineRule="atLeast"/>
        <w:jc w:val="both"/>
        <w:textAlignment w:val="baseline"/>
        <w:rPr>
          <w:rFonts w:eastAsia="Times New Roman" w:cstheme="minorHAnsi"/>
          <w:color w:val="0C0C0F"/>
          <w:sz w:val="24"/>
          <w:szCs w:val="24"/>
          <w:bdr w:val="none" w:sz="0" w:space="0" w:color="auto" w:frame="1"/>
          <w:lang w:eastAsia="it-IT"/>
        </w:rPr>
      </w:pPr>
      <w:r w:rsidRPr="00CD6ED3">
        <w:rPr>
          <w:rFonts w:eastAsia="Times New Roman" w:cstheme="minorHAnsi"/>
          <w:b/>
          <w:color w:val="0C0C0F"/>
          <w:sz w:val="24"/>
          <w:szCs w:val="24"/>
          <w:lang w:eastAsia="it-IT"/>
        </w:rPr>
        <w:t>Un secondo decreto</w:t>
      </w:r>
      <w:r w:rsidRPr="00E84ABB">
        <w:rPr>
          <w:rFonts w:eastAsia="Times New Roman" w:cstheme="minorHAnsi"/>
          <w:color w:val="0C0C0F"/>
          <w:sz w:val="24"/>
          <w:szCs w:val="24"/>
          <w:lang w:eastAsia="it-IT"/>
        </w:rPr>
        <w:t xml:space="preserve"> </w:t>
      </w:r>
      <w:r w:rsidR="00DE6CDD">
        <w:rPr>
          <w:rFonts w:eastAsia="Times New Roman" w:cstheme="minorHAnsi"/>
          <w:color w:val="0C0C0F"/>
          <w:sz w:val="24"/>
          <w:szCs w:val="24"/>
          <w:lang w:eastAsia="it-IT"/>
        </w:rPr>
        <w:t xml:space="preserve">ha </w:t>
      </w:r>
      <w:r w:rsidRPr="00E84ABB">
        <w:rPr>
          <w:rFonts w:eastAsia="Times New Roman" w:cstheme="minorHAnsi"/>
          <w:color w:val="0C0C0F"/>
          <w:sz w:val="24"/>
          <w:szCs w:val="24"/>
          <w:lang w:eastAsia="it-IT"/>
        </w:rPr>
        <w:t>apporta</w:t>
      </w:r>
      <w:r w:rsidR="00DE6CDD">
        <w:rPr>
          <w:rFonts w:eastAsia="Times New Roman" w:cstheme="minorHAnsi"/>
          <w:color w:val="0C0C0F"/>
          <w:sz w:val="24"/>
          <w:szCs w:val="24"/>
          <w:lang w:eastAsia="it-IT"/>
        </w:rPr>
        <w:t>to</w:t>
      </w:r>
      <w:r w:rsidRPr="00E84ABB">
        <w:rPr>
          <w:rFonts w:eastAsia="Times New Roman" w:cstheme="minorHAnsi"/>
          <w:color w:val="0C0C0F"/>
          <w:sz w:val="24"/>
          <w:szCs w:val="24"/>
          <w:lang w:eastAsia="it-IT"/>
        </w:rPr>
        <w:t xml:space="preserve"> modifiche al </w:t>
      </w:r>
      <w:hyperlink r:id="rId8" w:history="1">
        <w:r w:rsidRPr="00E84ABB">
          <w:rPr>
            <w:rFonts w:eastAsia="Times New Roman" w:cstheme="minorHAnsi"/>
            <w:bCs/>
            <w:sz w:val="24"/>
            <w:szCs w:val="24"/>
            <w:lang w:eastAsia="it-IT"/>
          </w:rPr>
          <w:t>decreto legislativo 27 ottobre 2009, n. 150</w:t>
        </w:r>
      </w:hyperlink>
      <w:r w:rsidR="00DE6CDD">
        <w:t xml:space="preserve"> (legge Brunetta)</w:t>
      </w:r>
      <w:r w:rsidRPr="00E84ABB">
        <w:rPr>
          <w:rFonts w:eastAsia="Times New Roman" w:cstheme="minorHAnsi"/>
          <w:sz w:val="24"/>
          <w:szCs w:val="24"/>
          <w:lang w:eastAsia="it-IT"/>
        </w:rPr>
        <w:t>, sempre in attuazione della </w:t>
      </w:r>
      <w:hyperlink r:id="rId9" w:history="1">
        <w:r w:rsidRPr="00E84ABB">
          <w:rPr>
            <w:rFonts w:eastAsia="Times New Roman" w:cstheme="minorHAnsi"/>
            <w:bCs/>
            <w:sz w:val="24"/>
            <w:szCs w:val="24"/>
            <w:lang w:eastAsia="it-IT"/>
          </w:rPr>
          <w:t>legge n. 124 del 2015</w:t>
        </w:r>
      </w:hyperlink>
      <w:r w:rsidRPr="00E84ABB">
        <w:rPr>
          <w:rFonts w:eastAsia="Times New Roman" w:cstheme="minorHAnsi"/>
          <w:sz w:val="24"/>
          <w:szCs w:val="24"/>
          <w:bdr w:val="none" w:sz="0" w:space="0" w:color="auto" w:frame="1"/>
          <w:lang w:eastAsia="it-IT"/>
        </w:rPr>
        <w:t>, con l'obiettivo di ottimizzare la produttività del lavoro pubblico e di garantire efficienza e traspare</w:t>
      </w:r>
      <w:r w:rsidRPr="00E84ABB">
        <w:rPr>
          <w:rFonts w:eastAsia="Times New Roman" w:cstheme="minorHAnsi"/>
          <w:color w:val="0C0C0F"/>
          <w:sz w:val="24"/>
          <w:szCs w:val="24"/>
          <w:bdr w:val="none" w:sz="0" w:space="0" w:color="auto" w:frame="1"/>
          <w:lang w:eastAsia="it-IT"/>
        </w:rPr>
        <w:t>nza della P.A.</w:t>
      </w:r>
      <w:r w:rsidR="00DC75E8">
        <w:rPr>
          <w:rFonts w:eastAsia="Times New Roman" w:cstheme="minorHAnsi"/>
          <w:color w:val="0C0C0F"/>
          <w:sz w:val="24"/>
          <w:szCs w:val="24"/>
          <w:bdr w:val="none" w:sz="0" w:space="0" w:color="auto" w:frame="1"/>
          <w:lang w:eastAsia="it-IT"/>
        </w:rPr>
        <w:t xml:space="preserve"> In realtà è lo stesso concetto di produttività a suscitare le peggiori riserve, giacchè si collega all’introduzione di un sistema premiale, fortemente discriminatorio perché riserva aumenti di salario anche sostanziosi ai dipendenti più zelanti, i quali saranno indotti a sobbarcarsi un superlavoro, ovviamente non retribuito, nella prospettiva di ottenere l’agognata ricompensa. Tutto ciò porta ad una reimpostazione gestionale dell’ente o dell’azienda, che diverge gravemente dalle norme costituzionali e da tutte le leggi sui diritti dei lavoratori. </w:t>
      </w:r>
    </w:p>
    <w:p w:rsidR="007B7388" w:rsidRPr="00E84ABB" w:rsidRDefault="007B7388" w:rsidP="00DC30E6">
      <w:pPr>
        <w:shd w:val="clear" w:color="auto" w:fill="FFFFFF"/>
        <w:spacing w:after="0" w:line="22" w:lineRule="atLeast"/>
        <w:jc w:val="both"/>
        <w:textAlignment w:val="baseline"/>
        <w:rPr>
          <w:rFonts w:eastAsia="Times New Roman" w:cstheme="minorHAnsi"/>
          <w:color w:val="0C0C0F"/>
          <w:sz w:val="24"/>
          <w:szCs w:val="24"/>
          <w:lang w:eastAsia="it-IT"/>
        </w:rPr>
      </w:pPr>
      <w:r>
        <w:rPr>
          <w:rFonts w:eastAsia="Times New Roman" w:cstheme="minorHAnsi"/>
          <w:color w:val="0C0C0F"/>
          <w:sz w:val="24"/>
          <w:szCs w:val="24"/>
          <w:bdr w:val="none" w:sz="0" w:space="0" w:color="auto" w:frame="1"/>
          <w:lang w:eastAsia="it-IT"/>
        </w:rPr>
        <w:t>Non solo, codesta impostazione del rapporto di lavoro tende a riflettersi molto negativamente sulla regolamentazione del cosiddetto telelavoro. Infatti, al di là dei pregi di facciata che vanta questa tipologia di occupazione, chi lavora nel proprio domicilio non è sottoposto ad un orario di lavoro, che può quindi andare a tempi anche più lunghi. In secondo luogo la stessa prestazione viene fortemente criticata in quanto esime la parte datoriale da incombenti di carattere assicurativo e preventivo circa gli infortuni sul lavoro che, piaccia o meno ha una for</w:t>
      </w:r>
      <w:r w:rsidR="001860D7">
        <w:rPr>
          <w:rFonts w:eastAsia="Times New Roman" w:cstheme="minorHAnsi"/>
          <w:color w:val="0C0C0F"/>
          <w:sz w:val="24"/>
          <w:szCs w:val="24"/>
          <w:bdr w:val="none" w:sz="0" w:space="0" w:color="auto" w:frame="1"/>
          <w:lang w:eastAsia="it-IT"/>
        </w:rPr>
        <w:t>tissima incidenza generale nell</w:t>
      </w:r>
      <w:r>
        <w:rPr>
          <w:rFonts w:eastAsia="Times New Roman" w:cstheme="minorHAnsi"/>
          <w:color w:val="0C0C0F"/>
          <w:sz w:val="24"/>
          <w:szCs w:val="24"/>
          <w:bdr w:val="none" w:sz="0" w:space="0" w:color="auto" w:frame="1"/>
          <w:lang w:eastAsia="it-IT"/>
        </w:rPr>
        <w:t>’ambito della sinistrosità, propriamente nell’ambiente domestico.</w:t>
      </w:r>
    </w:p>
    <w:p w:rsidR="000F57E9" w:rsidRDefault="001860D7" w:rsidP="00DC30E6">
      <w:pPr>
        <w:spacing w:after="0" w:line="22" w:lineRule="atLeast"/>
        <w:jc w:val="both"/>
        <w:rPr>
          <w:rFonts w:eastAsia="Times New Roman" w:cstheme="minorHAnsi"/>
          <w:sz w:val="24"/>
          <w:szCs w:val="24"/>
          <w:shd w:val="clear" w:color="auto" w:fill="FFFFFF"/>
          <w:lang w:eastAsia="it-IT"/>
        </w:rPr>
      </w:pPr>
      <w:r>
        <w:rPr>
          <w:rFonts w:eastAsia="Times New Roman" w:cstheme="minorHAnsi"/>
          <w:sz w:val="24"/>
          <w:szCs w:val="24"/>
          <w:shd w:val="clear" w:color="auto" w:fill="FFFFFF"/>
          <w:lang w:eastAsia="it-IT"/>
        </w:rPr>
        <w:t xml:space="preserve">Parallelamente, dubbi altrettanto gravi investono, sotto il profilo dell’ordinamento istituzionale delle funzioni pubbliche, </w:t>
      </w:r>
      <w:r w:rsidR="000F57E9">
        <w:rPr>
          <w:rFonts w:eastAsia="Times New Roman" w:cstheme="minorHAnsi"/>
          <w:sz w:val="24"/>
          <w:szCs w:val="24"/>
          <w:shd w:val="clear" w:color="auto" w:fill="FFFFFF"/>
          <w:lang w:eastAsia="it-IT"/>
        </w:rPr>
        <w:t xml:space="preserve">il </w:t>
      </w:r>
      <w:r w:rsidRPr="00CD6ED3">
        <w:rPr>
          <w:rFonts w:eastAsia="Times New Roman" w:cstheme="minorHAnsi"/>
          <w:b/>
          <w:sz w:val="24"/>
          <w:szCs w:val="24"/>
          <w:shd w:val="clear" w:color="auto" w:fill="FFFFFF"/>
          <w:lang w:eastAsia="it-IT"/>
        </w:rPr>
        <w:t xml:space="preserve">decreto di modica del TUEL del </w:t>
      </w:r>
      <w:r w:rsidR="000F57E9" w:rsidRPr="00CD6ED3">
        <w:rPr>
          <w:rFonts w:eastAsia="Times New Roman" w:cstheme="minorHAnsi"/>
          <w:b/>
          <w:sz w:val="24"/>
          <w:szCs w:val="24"/>
          <w:shd w:val="clear" w:color="auto" w:fill="FFFFFF"/>
          <w:lang w:eastAsia="it-IT"/>
        </w:rPr>
        <w:t>Ministro Delrio</w:t>
      </w:r>
      <w:r w:rsidR="000F57E9">
        <w:rPr>
          <w:rFonts w:eastAsia="Times New Roman" w:cstheme="minorHAnsi"/>
          <w:sz w:val="24"/>
          <w:szCs w:val="24"/>
          <w:shd w:val="clear" w:color="auto" w:fill="FFFFFF"/>
          <w:lang w:eastAsia="it-IT"/>
        </w:rPr>
        <w:t xml:space="preserve">, </w:t>
      </w:r>
      <w:r>
        <w:rPr>
          <w:rFonts w:eastAsia="Times New Roman" w:cstheme="minorHAnsi"/>
          <w:sz w:val="24"/>
          <w:szCs w:val="24"/>
          <w:shd w:val="clear" w:color="auto" w:fill="FFFFFF"/>
          <w:lang w:eastAsia="it-IT"/>
        </w:rPr>
        <w:t>che</w:t>
      </w:r>
      <w:r w:rsidR="000F57E9">
        <w:rPr>
          <w:rFonts w:eastAsia="Times New Roman" w:cstheme="minorHAnsi"/>
          <w:sz w:val="24"/>
          <w:szCs w:val="24"/>
          <w:shd w:val="clear" w:color="auto" w:fill="FFFFFF"/>
          <w:lang w:eastAsia="it-IT"/>
        </w:rPr>
        <w:t xml:space="preserve"> innova profondamente l’ordinamento vigente delle autonomie locali, svuotandole di funzioni e ruoli così come voleva la riforma costituzionale di Renzi, clamorosamente bocciata dall’elettorato.</w:t>
      </w:r>
    </w:p>
    <w:p w:rsidR="000F57E9" w:rsidRDefault="000F57E9" w:rsidP="00DC30E6">
      <w:pPr>
        <w:spacing w:after="0" w:line="22" w:lineRule="atLeast"/>
        <w:jc w:val="both"/>
        <w:rPr>
          <w:rFonts w:eastAsia="Times New Roman" w:cstheme="minorHAnsi"/>
          <w:sz w:val="24"/>
          <w:szCs w:val="24"/>
          <w:shd w:val="clear" w:color="auto" w:fill="FFFFFF"/>
          <w:lang w:eastAsia="it-IT"/>
        </w:rPr>
      </w:pPr>
      <w:r>
        <w:rPr>
          <w:rFonts w:eastAsia="Times New Roman" w:cstheme="minorHAnsi"/>
          <w:sz w:val="24"/>
          <w:szCs w:val="24"/>
          <w:shd w:val="clear" w:color="auto" w:fill="FFFFFF"/>
          <w:lang w:eastAsia="it-IT"/>
        </w:rPr>
        <w:t xml:space="preserve">Pertanto si può tranquillamente affermare l’esistenza di un tentativo portato avanti dal Governo Gentiloni, tutt’altro che neutrale su tali temi, che tende a ricostruire con semplici leggi ordinarie l’obiettivo dell’accentramento esasperato di </w:t>
      </w:r>
      <w:r w:rsidR="001860D7">
        <w:rPr>
          <w:rFonts w:eastAsia="Times New Roman" w:cstheme="minorHAnsi"/>
          <w:sz w:val="24"/>
          <w:szCs w:val="24"/>
          <w:shd w:val="clear" w:color="auto" w:fill="FFFFFF"/>
          <w:lang w:eastAsia="it-IT"/>
        </w:rPr>
        <w:t>potestà e competenze</w:t>
      </w:r>
      <w:r>
        <w:rPr>
          <w:rFonts w:eastAsia="Times New Roman" w:cstheme="minorHAnsi"/>
          <w:sz w:val="24"/>
          <w:szCs w:val="24"/>
          <w:shd w:val="clear" w:color="auto" w:fill="FFFFFF"/>
          <w:lang w:eastAsia="it-IT"/>
        </w:rPr>
        <w:t xml:space="preserve"> in capo al potere esecutivo.</w:t>
      </w:r>
    </w:p>
    <w:p w:rsidR="000F57E9" w:rsidRDefault="000F57E9" w:rsidP="00DC30E6">
      <w:pPr>
        <w:shd w:val="clear" w:color="auto" w:fill="FFFFFF"/>
        <w:spacing w:after="0" w:line="22" w:lineRule="atLeast"/>
        <w:jc w:val="both"/>
        <w:textAlignment w:val="baseline"/>
        <w:rPr>
          <w:rFonts w:eastAsia="Times New Roman" w:cstheme="minorHAnsi"/>
          <w:b/>
          <w:bCs/>
          <w:color w:val="0C0C0F"/>
          <w:sz w:val="24"/>
          <w:szCs w:val="24"/>
          <w:lang w:eastAsia="it-IT"/>
        </w:rPr>
      </w:pPr>
    </w:p>
    <w:p w:rsidR="000F57E9" w:rsidRDefault="000F57E9" w:rsidP="002569D0">
      <w:pPr>
        <w:pStyle w:val="NormaleWeb"/>
        <w:spacing w:before="0" w:beforeAutospacing="0" w:after="60" w:afterAutospacing="0"/>
        <w:jc w:val="both"/>
        <w:rPr>
          <w:rFonts w:asciiTheme="minorHAnsi" w:hAnsiTheme="minorHAnsi" w:cstheme="minorHAnsi"/>
          <w:b/>
        </w:rPr>
      </w:pPr>
      <w:r>
        <w:rPr>
          <w:rFonts w:asciiTheme="minorHAnsi" w:hAnsiTheme="minorHAnsi" w:cstheme="minorHAnsi"/>
          <w:b/>
        </w:rPr>
        <w:t>Infortuni sul lavoro e precarietà</w:t>
      </w:r>
    </w:p>
    <w:p w:rsidR="000F57E9" w:rsidRDefault="000F57E9" w:rsidP="00DC30E6">
      <w:pPr>
        <w:pStyle w:val="NormaleWeb"/>
        <w:spacing w:before="0" w:beforeAutospacing="0" w:after="0" w:afterAutospacing="0"/>
        <w:jc w:val="both"/>
        <w:rPr>
          <w:rFonts w:asciiTheme="minorHAnsi" w:hAnsiTheme="minorHAnsi" w:cstheme="minorHAnsi"/>
        </w:rPr>
      </w:pPr>
      <w:r>
        <w:rPr>
          <w:rFonts w:asciiTheme="minorHAnsi" w:hAnsiTheme="minorHAnsi" w:cstheme="minorHAnsi"/>
        </w:rPr>
        <w:t xml:space="preserve">A diversi giorni di distanza dall’uscita delle statistiche 2016 sugli infortuni sul lavoro, la leader della CGIL Camusso, in una intervista rilasciata a La Repubblica, ha dichiarato che </w:t>
      </w:r>
      <w:r w:rsidRPr="000E07E9">
        <w:rPr>
          <w:rFonts w:asciiTheme="minorHAnsi" w:hAnsiTheme="minorHAnsi" w:cstheme="minorHAnsi"/>
          <w:i/>
        </w:rPr>
        <w:t>“finchè nel nostro paese non verrà contrastata in modo serio la sottocultura del lavoro nero e della precarietà, temo che i progressi compiuti sulla sicurezza e salute dei lavoratori saranno solo estemporanei, e che verranno tanti passi indietro.”</w:t>
      </w:r>
      <w:r w:rsidRPr="000E07E9">
        <w:rPr>
          <w:rFonts w:asciiTheme="minorHAnsi" w:hAnsiTheme="minorHAnsi" w:cstheme="minorHAnsi"/>
        </w:rPr>
        <w:t xml:space="preserve"> </w:t>
      </w:r>
      <w:r>
        <w:rPr>
          <w:rFonts w:asciiTheme="minorHAnsi" w:hAnsiTheme="minorHAnsi" w:cstheme="minorHAnsi"/>
        </w:rPr>
        <w:t>Non è la scoperta dell’America, semmai quella dell’acqua calda, fatta per altro con notevole ritardo, come se venisse da un qualsiasi opinionista e non dal capo di un organismo che dovrebbe monitorarli quotidianamente i dati sul lavoro.</w:t>
      </w:r>
    </w:p>
    <w:p w:rsidR="000F57E9" w:rsidRPr="000706D2" w:rsidRDefault="000F57E9" w:rsidP="00DC30E6">
      <w:pPr>
        <w:pStyle w:val="NormaleWeb"/>
        <w:spacing w:before="0" w:beforeAutospacing="0" w:after="0" w:afterAutospacing="0"/>
        <w:jc w:val="both"/>
        <w:rPr>
          <w:rFonts w:asciiTheme="minorHAnsi" w:hAnsiTheme="minorHAnsi" w:cstheme="minorHAnsi"/>
        </w:rPr>
      </w:pPr>
      <w:r>
        <w:rPr>
          <w:rFonts w:asciiTheme="minorHAnsi" w:hAnsiTheme="minorHAnsi" w:cstheme="minorHAnsi"/>
        </w:rPr>
        <w:t xml:space="preserve">In totale, dal 2015 gli infortuni sono saliti da 632.665 a 636.812, producendo però un minor numero di decessi, da 1172 a 1018. Un quadro allarmante, anche perché non completo: mancano infatti gli </w:t>
      </w:r>
      <w:r w:rsidRPr="000706D2">
        <w:rPr>
          <w:rFonts w:asciiTheme="minorHAnsi" w:hAnsiTheme="minorHAnsi" w:cstheme="minorHAnsi"/>
        </w:rPr>
        <w:t>infortun</w:t>
      </w:r>
      <w:r>
        <w:rPr>
          <w:rFonts w:asciiTheme="minorHAnsi" w:hAnsiTheme="minorHAnsi" w:cstheme="minorHAnsi"/>
        </w:rPr>
        <w:t>i occorsi ai non iscritti Inail,</w:t>
      </w:r>
      <w:r w:rsidRPr="000706D2">
        <w:rPr>
          <w:rFonts w:asciiTheme="minorHAnsi" w:hAnsiTheme="minorHAnsi" w:cstheme="minorHAnsi"/>
        </w:rPr>
        <w:t xml:space="preserve"> i Vigili del Fuoco</w:t>
      </w:r>
      <w:r>
        <w:rPr>
          <w:rFonts w:asciiTheme="minorHAnsi" w:hAnsiTheme="minorHAnsi" w:cstheme="minorHAnsi"/>
        </w:rPr>
        <w:t>,</w:t>
      </w:r>
      <w:r w:rsidRPr="000706D2">
        <w:rPr>
          <w:rFonts w:asciiTheme="minorHAnsi" w:hAnsiTheme="minorHAnsi" w:cstheme="minorHAnsi"/>
        </w:rPr>
        <w:t xml:space="preserve"> gli agenti di PS</w:t>
      </w:r>
      <w:r>
        <w:rPr>
          <w:rFonts w:asciiTheme="minorHAnsi" w:hAnsiTheme="minorHAnsi" w:cstheme="minorHAnsi"/>
        </w:rPr>
        <w:t xml:space="preserve"> e della Polizia Locale (aggiungiamo noi, perché la Camusso se ne era dimenticata) </w:t>
      </w:r>
      <w:r w:rsidRPr="000706D2">
        <w:rPr>
          <w:rFonts w:asciiTheme="minorHAnsi" w:hAnsiTheme="minorHAnsi" w:cstheme="minorHAnsi"/>
        </w:rPr>
        <w:t xml:space="preserve">e ai lavoratori in nero. Passi per questi ultimi, dove si potrebbe parlare solo di stime, ma non </w:t>
      </w:r>
      <w:r>
        <w:rPr>
          <w:rFonts w:asciiTheme="minorHAnsi" w:hAnsiTheme="minorHAnsi" w:cstheme="minorHAnsi"/>
        </w:rPr>
        <w:t xml:space="preserve">per i primi, i quali non si sa bene perché non sono ancora coperti dalle tutele dell’Istituto. Una cosa veramente assurda! Noi lo diciamo da tanto tempo, la Camusso se ne è ricordata solo ora. </w:t>
      </w:r>
    </w:p>
    <w:p w:rsidR="000F57E9" w:rsidRDefault="000F57E9" w:rsidP="00DC30E6">
      <w:pPr>
        <w:pStyle w:val="NormaleWeb"/>
        <w:spacing w:before="0" w:beforeAutospacing="0" w:after="0" w:afterAutospacing="0"/>
        <w:jc w:val="both"/>
        <w:rPr>
          <w:rFonts w:asciiTheme="minorHAnsi" w:hAnsiTheme="minorHAnsi" w:cstheme="minorHAnsi"/>
        </w:rPr>
      </w:pPr>
      <w:r>
        <w:rPr>
          <w:rFonts w:asciiTheme="minorHAnsi" w:hAnsiTheme="minorHAnsi" w:cstheme="minorHAnsi"/>
        </w:rPr>
        <w:t>Q</w:t>
      </w:r>
      <w:r w:rsidRPr="000706D2">
        <w:rPr>
          <w:rFonts w:asciiTheme="minorHAnsi" w:hAnsiTheme="minorHAnsi" w:cstheme="minorHAnsi"/>
        </w:rPr>
        <w:t>uanto al precariato</w:t>
      </w:r>
      <w:r>
        <w:rPr>
          <w:rFonts w:asciiTheme="minorHAnsi" w:hAnsiTheme="minorHAnsi" w:cstheme="minorHAnsi"/>
        </w:rPr>
        <w:t>, la Segretaria CGIL sottolinea</w:t>
      </w:r>
      <w:r w:rsidRPr="000706D2">
        <w:rPr>
          <w:rFonts w:asciiTheme="minorHAnsi" w:hAnsiTheme="minorHAnsi" w:cstheme="minorHAnsi"/>
        </w:rPr>
        <w:t xml:space="preserve"> che la colpa è dei voucher e delle finte partite Iva, che tendono addirittura a incentivarlo. </w:t>
      </w:r>
      <w:r>
        <w:rPr>
          <w:rFonts w:asciiTheme="minorHAnsi" w:hAnsiTheme="minorHAnsi" w:cstheme="minorHAnsi"/>
        </w:rPr>
        <w:t>Senza volerle ricordare che pure il Sindacato ha assunto personale con questo sistema, siamo ancora di fronte a un commento a fatto compiuto, come se si trattasse di un argomento accessorio.</w:t>
      </w:r>
    </w:p>
    <w:p w:rsidR="006165AC" w:rsidRDefault="006165AC" w:rsidP="00DC30E6">
      <w:pPr>
        <w:pStyle w:val="NormaleWeb"/>
        <w:spacing w:before="0" w:beforeAutospacing="0" w:after="0" w:afterAutospacing="0"/>
        <w:jc w:val="both"/>
        <w:rPr>
          <w:rFonts w:asciiTheme="minorHAnsi" w:hAnsiTheme="minorHAnsi" w:cstheme="minorHAnsi"/>
        </w:rPr>
      </w:pPr>
    </w:p>
    <w:p w:rsidR="006165AC" w:rsidRDefault="006165AC" w:rsidP="00DC30E6">
      <w:pPr>
        <w:pStyle w:val="NormaleWeb"/>
        <w:spacing w:before="0" w:beforeAutospacing="0" w:after="0" w:afterAutospacing="0"/>
        <w:jc w:val="both"/>
        <w:rPr>
          <w:rFonts w:asciiTheme="minorHAnsi" w:hAnsiTheme="minorHAnsi" w:cstheme="minorHAnsi"/>
        </w:rPr>
      </w:pPr>
    </w:p>
    <w:p w:rsidR="006165AC" w:rsidRDefault="006165AC" w:rsidP="00DC30E6">
      <w:pPr>
        <w:pStyle w:val="NormaleWeb"/>
        <w:spacing w:before="0" w:beforeAutospacing="0" w:after="0" w:afterAutospacing="0"/>
        <w:jc w:val="both"/>
        <w:rPr>
          <w:rFonts w:asciiTheme="minorHAnsi" w:hAnsiTheme="minorHAnsi" w:cstheme="minorHAnsi"/>
        </w:rPr>
      </w:pPr>
    </w:p>
    <w:p w:rsidR="000F57E9" w:rsidRPr="00B012BD" w:rsidRDefault="000F57E9" w:rsidP="00DC30E6">
      <w:pPr>
        <w:pStyle w:val="NormaleWeb"/>
        <w:spacing w:before="0" w:beforeAutospacing="0" w:after="0" w:afterAutospacing="0"/>
        <w:jc w:val="both"/>
        <w:rPr>
          <w:rFonts w:asciiTheme="minorHAnsi" w:hAnsiTheme="minorHAnsi" w:cstheme="minorHAnsi"/>
        </w:rPr>
      </w:pPr>
      <w:r>
        <w:rPr>
          <w:rFonts w:asciiTheme="minorHAnsi" w:hAnsiTheme="minorHAnsi" w:cstheme="minorHAnsi"/>
        </w:rPr>
        <w:t xml:space="preserve">Che ci sia </w:t>
      </w:r>
      <w:r w:rsidRPr="001F73DF">
        <w:rPr>
          <w:rFonts w:asciiTheme="minorHAnsi" w:hAnsiTheme="minorHAnsi" w:cstheme="minorHAnsi"/>
          <w:b/>
        </w:rPr>
        <w:t>un legame fra infortuni e precarietà</w:t>
      </w:r>
      <w:r>
        <w:rPr>
          <w:rFonts w:asciiTheme="minorHAnsi" w:hAnsiTheme="minorHAnsi" w:cstheme="minorHAnsi"/>
        </w:rPr>
        <w:t xml:space="preserve"> è innegabile: guarda caso, l’aumento – che ha invertito un trend positivo che durava ormai da 7 anni - si è avuto in corrispondenza dell’ultimo rafforzamento del provvedimento istitutivo del 2003, da parte del Governo Renzi, </w:t>
      </w:r>
      <w:r w:rsidRPr="00781B20">
        <w:rPr>
          <w:rFonts w:asciiTheme="minorHAnsi" w:hAnsiTheme="minorHAnsi" w:cstheme="minorHAnsi"/>
        </w:rPr>
        <w:t>innalzato i limiti da 5.000 a 7.000 annui e ha eliminato dalla legge la dicitura "di natura meramente occasionale" che era l'essenza del buono lavoro.</w:t>
      </w:r>
      <w:r>
        <w:rPr>
          <w:rFonts w:asciiTheme="minorHAnsi" w:hAnsiTheme="minorHAnsi" w:cstheme="minorHAnsi"/>
        </w:rPr>
        <w:t xml:space="preserve"> </w:t>
      </w:r>
      <w:r w:rsidRPr="00B012BD">
        <w:rPr>
          <w:rFonts w:asciiTheme="minorHAnsi" w:hAnsiTheme="minorHAnsi" w:cstheme="minorHAnsi"/>
        </w:rPr>
        <w:t xml:space="preserve">Non solo, con tale operazione il Governo decaduto il 4 dicembre aveva occultato un’altra infima strategia: poiché era scontato che i lavoratori prima regolarmente assunti con contratti a termine </w:t>
      </w:r>
      <w:r>
        <w:rPr>
          <w:rFonts w:asciiTheme="minorHAnsi" w:hAnsiTheme="minorHAnsi" w:cstheme="minorHAnsi"/>
        </w:rPr>
        <w:t xml:space="preserve">(in particolare gli stagionali) </w:t>
      </w:r>
      <w:r w:rsidRPr="00B012BD">
        <w:rPr>
          <w:rFonts w:asciiTheme="minorHAnsi" w:hAnsiTheme="minorHAnsi" w:cstheme="minorHAnsi"/>
        </w:rPr>
        <w:t>sarebbero stati poi ingaggiati e remunerati coi voucher, questi lavoratori non avrebbero più potuto maturare il periodo utile per usufruire della Naspi (la nuova indennità di disoccupazione introdotta nel 2015), riducendo di fatto le settimane erogate a fine lavoro</w:t>
      </w:r>
      <w:r>
        <w:rPr>
          <w:rFonts w:asciiTheme="minorHAnsi" w:hAnsiTheme="minorHAnsi" w:cstheme="minorHAnsi"/>
        </w:rPr>
        <w:t>.</w:t>
      </w:r>
    </w:p>
    <w:p w:rsidR="00DE6CDD" w:rsidRDefault="000F57E9" w:rsidP="00DC30E6">
      <w:pPr>
        <w:pStyle w:val="NormaleWeb"/>
        <w:spacing w:before="0" w:beforeAutospacing="0" w:after="0" w:afterAutospacing="0"/>
        <w:jc w:val="both"/>
        <w:rPr>
          <w:rFonts w:asciiTheme="minorHAnsi" w:hAnsiTheme="minorHAnsi" w:cstheme="minorHAnsi"/>
        </w:rPr>
      </w:pPr>
      <w:r w:rsidRPr="00B012BD">
        <w:rPr>
          <w:rFonts w:asciiTheme="minorHAnsi" w:hAnsiTheme="minorHAnsi" w:cstheme="minorHAnsi"/>
        </w:rPr>
        <w:t>Chiusa la parentesi,</w:t>
      </w:r>
      <w:r>
        <w:t xml:space="preserve"> c</w:t>
      </w:r>
      <w:r>
        <w:rPr>
          <w:rFonts w:asciiTheme="minorHAnsi" w:hAnsiTheme="minorHAnsi" w:cstheme="minorHAnsi"/>
        </w:rPr>
        <w:t xml:space="preserve">iò di cui si sente parlare ben poco – colpevolmente, perché dovrebbe trattarsi del punto numero uno all’ordine del giorno – è la prevenzione. </w:t>
      </w:r>
    </w:p>
    <w:p w:rsidR="000F57E9" w:rsidRDefault="000F57E9" w:rsidP="00DC30E6">
      <w:pPr>
        <w:pStyle w:val="NormaleWeb"/>
        <w:spacing w:before="0" w:beforeAutospacing="0" w:after="0" w:afterAutospacing="0"/>
        <w:jc w:val="both"/>
        <w:rPr>
          <w:rFonts w:asciiTheme="minorHAnsi" w:hAnsiTheme="minorHAnsi" w:cstheme="minorHAnsi"/>
        </w:rPr>
      </w:pPr>
      <w:r>
        <w:rPr>
          <w:rFonts w:asciiTheme="minorHAnsi" w:hAnsiTheme="minorHAnsi" w:cstheme="minorHAnsi"/>
        </w:rPr>
        <w:t xml:space="preserve">Un’operazione ad ampio spettro che coinvolge tutti, Sindacati, Ministeri e Governo e che non dovrebbe limitarsi al miglioramento/intensificazione dei controlli, come ora si sta tentando di fare attraverso l’Ispettorato nazionale del lavoro, e/o all’introduzione di norme repressive più severe, quale è ad esempio la recente proposta di legge Pd-Sel che punta a istituire il reato di omicidio sul lavoro, con pene sino a 12 anni di carcere. Come sempre accade in Italia, il tema è salito alla ribalta dopo una strage, quella del 2007 alla Tyssen Krupp. </w:t>
      </w:r>
      <w:r w:rsidRPr="00826DEA">
        <w:rPr>
          <w:rFonts w:asciiTheme="minorHAnsi" w:hAnsiTheme="minorHAnsi" w:cstheme="minorHAnsi"/>
        </w:rPr>
        <w:t xml:space="preserve">che portò all’emanazione del nuovo testo unico e all’apertura di </w:t>
      </w:r>
      <w:r>
        <w:rPr>
          <w:rFonts w:asciiTheme="minorHAnsi" w:hAnsiTheme="minorHAnsi" w:cstheme="minorHAnsi"/>
        </w:rPr>
        <w:t xml:space="preserve">nuove </w:t>
      </w:r>
      <w:r w:rsidRPr="00826DEA">
        <w:rPr>
          <w:rFonts w:asciiTheme="minorHAnsi" w:hAnsiTheme="minorHAnsi" w:cstheme="minorHAnsi"/>
        </w:rPr>
        <w:t xml:space="preserve">norme </w:t>
      </w:r>
      <w:r>
        <w:rPr>
          <w:rFonts w:asciiTheme="minorHAnsi" w:hAnsiTheme="minorHAnsi" w:cstheme="minorHAnsi"/>
        </w:rPr>
        <w:t>riguardanti</w:t>
      </w:r>
      <w:r w:rsidRPr="00826DEA">
        <w:rPr>
          <w:rFonts w:asciiTheme="minorHAnsi" w:hAnsiTheme="minorHAnsi" w:cstheme="minorHAnsi"/>
        </w:rPr>
        <w:t xml:space="preserve"> la scuola. Ma quella spinta purtroppo </w:t>
      </w:r>
      <w:r>
        <w:rPr>
          <w:rFonts w:asciiTheme="minorHAnsi" w:hAnsiTheme="minorHAnsi" w:cstheme="minorHAnsi"/>
        </w:rPr>
        <w:t>è andata gradatamente a scemare</w:t>
      </w:r>
      <w:r w:rsidRPr="00826DEA">
        <w:rPr>
          <w:rFonts w:asciiTheme="minorHAnsi" w:hAnsiTheme="minorHAnsi" w:cstheme="minorHAnsi"/>
        </w:rPr>
        <w:t xml:space="preserve">. </w:t>
      </w:r>
      <w:r>
        <w:rPr>
          <w:rFonts w:asciiTheme="minorHAnsi" w:hAnsiTheme="minorHAnsi" w:cstheme="minorHAnsi"/>
        </w:rPr>
        <w:t>Il fatto è che bisognerebbe lavorare molto di più sul piano culturale, ovvero porre la sicurezza sul lavoro come tema di studio e dibattito nelle scuole, nei centri sociali e nei talk-show televisivi, molto avvezzi a cercare/inventare scandali e molto meno ad occuparsi di temi che non siano legati ad eventi di estrema gravità.</w:t>
      </w:r>
    </w:p>
    <w:p w:rsidR="000F57E9" w:rsidRDefault="000F57E9" w:rsidP="00DC30E6">
      <w:pPr>
        <w:pStyle w:val="NormaleWeb"/>
        <w:spacing w:before="0" w:beforeAutospacing="0" w:after="0" w:afterAutospacing="0"/>
        <w:jc w:val="both"/>
        <w:rPr>
          <w:rFonts w:asciiTheme="minorHAnsi" w:hAnsiTheme="minorHAnsi" w:cstheme="minorHAnsi"/>
        </w:rPr>
      </w:pPr>
      <w:r>
        <w:rPr>
          <w:rFonts w:asciiTheme="minorHAnsi" w:hAnsiTheme="minorHAnsi" w:cstheme="minorHAnsi"/>
        </w:rPr>
        <w:t>Tornando sulla questione dei lavori precari, quelli per l’appunto che ricadono  nella morsa dei voucher, una proposta che riteniamo interessante, per la tutela della salute dei lavoratori, è quella di prevedere, a carico del datore di lavoro, l’obbligo di stipulare un’assicurazione sui luoghi in cui il lavoro viene espletato.</w:t>
      </w:r>
    </w:p>
    <w:p w:rsidR="000F57E9" w:rsidRDefault="000F57E9" w:rsidP="00DC30E6">
      <w:pPr>
        <w:pStyle w:val="NormaleWeb"/>
        <w:spacing w:before="0" w:beforeAutospacing="0" w:after="0" w:afterAutospacing="0"/>
        <w:jc w:val="both"/>
        <w:rPr>
          <w:rFonts w:asciiTheme="minorHAnsi" w:hAnsiTheme="minorHAnsi" w:cstheme="minorHAnsi"/>
        </w:rPr>
      </w:pPr>
    </w:p>
    <w:p w:rsidR="000F57E9" w:rsidRPr="000706D2" w:rsidRDefault="000F57E9" w:rsidP="002569D0">
      <w:pPr>
        <w:pStyle w:val="NormaleWeb"/>
        <w:spacing w:before="0" w:beforeAutospacing="0" w:after="60" w:afterAutospacing="0"/>
        <w:jc w:val="both"/>
        <w:rPr>
          <w:rFonts w:asciiTheme="minorHAnsi" w:hAnsiTheme="minorHAnsi" w:cstheme="minorHAnsi"/>
          <w:b/>
        </w:rPr>
      </w:pPr>
      <w:r w:rsidRPr="000706D2">
        <w:rPr>
          <w:rFonts w:asciiTheme="minorHAnsi" w:hAnsiTheme="minorHAnsi" w:cstheme="minorHAnsi"/>
          <w:b/>
        </w:rPr>
        <w:t>Una buona nuova</w:t>
      </w:r>
      <w:r>
        <w:rPr>
          <w:rFonts w:asciiTheme="minorHAnsi" w:hAnsiTheme="minorHAnsi" w:cstheme="minorHAnsi"/>
          <w:b/>
        </w:rPr>
        <w:t xml:space="preserve"> (?)</w:t>
      </w:r>
      <w:r w:rsidRPr="000706D2">
        <w:rPr>
          <w:rFonts w:asciiTheme="minorHAnsi" w:hAnsiTheme="minorHAnsi" w:cstheme="minorHAnsi"/>
          <w:b/>
        </w:rPr>
        <w:t>: l’Ispettorato nazionale del lavoro</w:t>
      </w:r>
    </w:p>
    <w:p w:rsidR="000F57E9" w:rsidRPr="000706D2" w:rsidRDefault="000F57E9" w:rsidP="00DC30E6">
      <w:pPr>
        <w:pStyle w:val="NormaleWeb"/>
        <w:spacing w:before="0" w:beforeAutospacing="0" w:after="0" w:afterAutospacing="0"/>
        <w:jc w:val="both"/>
        <w:rPr>
          <w:rFonts w:asciiTheme="minorHAnsi" w:hAnsiTheme="minorHAnsi" w:cstheme="minorHAnsi"/>
        </w:rPr>
      </w:pPr>
      <w:r>
        <w:rPr>
          <w:rFonts w:asciiTheme="minorHAnsi" w:hAnsiTheme="minorHAnsi" w:cstheme="minorHAnsi"/>
        </w:rPr>
        <w:t>Sulla carta</w:t>
      </w:r>
      <w:r w:rsidRPr="000706D2">
        <w:rPr>
          <w:rFonts w:asciiTheme="minorHAnsi" w:hAnsiTheme="minorHAnsi" w:cstheme="minorHAnsi"/>
        </w:rPr>
        <w:t>, una delle poche cose buone lasciata dal Jo</w:t>
      </w:r>
      <w:r>
        <w:rPr>
          <w:rFonts w:asciiTheme="minorHAnsi" w:hAnsiTheme="minorHAnsi" w:cstheme="minorHAnsi"/>
        </w:rPr>
        <w:t xml:space="preserve">bs </w:t>
      </w:r>
      <w:r w:rsidRPr="000706D2">
        <w:rPr>
          <w:rFonts w:asciiTheme="minorHAnsi" w:hAnsiTheme="minorHAnsi" w:cstheme="minorHAnsi"/>
        </w:rPr>
        <w:t xml:space="preserve">Act è stata </w:t>
      </w:r>
      <w:r>
        <w:rPr>
          <w:rFonts w:asciiTheme="minorHAnsi" w:hAnsiTheme="minorHAnsi" w:cstheme="minorHAnsi"/>
        </w:rPr>
        <w:t xml:space="preserve">proprio </w:t>
      </w:r>
      <w:r w:rsidRPr="000706D2">
        <w:rPr>
          <w:rFonts w:asciiTheme="minorHAnsi" w:hAnsiTheme="minorHAnsi" w:cstheme="minorHAnsi"/>
        </w:rPr>
        <w:t>l’istituzione dell’</w:t>
      </w:r>
      <w:r w:rsidRPr="000706D2">
        <w:rPr>
          <w:rFonts w:asciiTheme="minorHAnsi" w:hAnsiTheme="minorHAnsi" w:cstheme="minorHAnsi"/>
          <w:bCs/>
        </w:rPr>
        <w:t>Ispettorato nazionale del lavoro, una specie di task-force</w:t>
      </w:r>
      <w:r w:rsidRPr="000706D2">
        <w:rPr>
          <w:rFonts w:asciiTheme="minorHAnsi" w:hAnsiTheme="minorHAnsi" w:cstheme="minorHAnsi"/>
        </w:rPr>
        <w:t xml:space="preserve"> previdenziale e lavoristica, in cui confluiscono le competenze che in precedenza erano suddivise fra ministero del Lavoro, Inps e Inail. Ben 5000 gli ispettori attivi nei 78 uffici territoriali istituiti, che dovrebbero garantire almeno 200k controlli all’anno.</w:t>
      </w:r>
    </w:p>
    <w:p w:rsidR="00DE6CDD" w:rsidRDefault="000F57E9" w:rsidP="00DC30E6">
      <w:pPr>
        <w:pStyle w:val="NormaleWeb"/>
        <w:spacing w:before="0" w:beforeAutospacing="0" w:after="0" w:afterAutospacing="0"/>
        <w:jc w:val="both"/>
        <w:rPr>
          <w:rFonts w:asciiTheme="minorHAnsi" w:hAnsiTheme="minorHAnsi" w:cstheme="minorHAnsi"/>
        </w:rPr>
      </w:pPr>
      <w:r w:rsidRPr="000706D2">
        <w:rPr>
          <w:rFonts w:asciiTheme="minorHAnsi" w:hAnsiTheme="minorHAnsi" w:cstheme="minorHAnsi"/>
        </w:rPr>
        <w:t>L’obiettivo è quello di semplificare tutta l’attività ispettiva: già oggi Inps e Inail hanno processi informatizzati per selezionare le imprese da controllare; in futuro, in questi flussi, si dovrà inserire anche l’Ispettorato, chiamato a svolgere il ruolo di “cabina di regia”. Oltr</w:t>
      </w:r>
      <w:r w:rsidR="002569D0">
        <w:rPr>
          <w:rFonts w:asciiTheme="minorHAnsi" w:hAnsiTheme="minorHAnsi" w:cstheme="minorHAnsi"/>
        </w:rPr>
        <w:t>e alla vigilanza previdenziale</w:t>
      </w:r>
      <w:r w:rsidRPr="000706D2">
        <w:rPr>
          <w:rFonts w:asciiTheme="minorHAnsi" w:hAnsiTheme="minorHAnsi" w:cstheme="minorHAnsi"/>
        </w:rPr>
        <w:t>, il faro resterà acceso sui profili più prettamente lavoristici, come l’orario di impiego, i trattamenti retributivi in applicazione dei Ccnl e il corretto utilizzo delle tipologie negoziali.</w:t>
      </w:r>
    </w:p>
    <w:p w:rsidR="000F57E9" w:rsidRPr="000706D2" w:rsidRDefault="000F57E9" w:rsidP="00DC30E6">
      <w:pPr>
        <w:pStyle w:val="NormaleWeb"/>
        <w:spacing w:before="0" w:beforeAutospacing="0" w:after="0" w:afterAutospacing="0"/>
        <w:jc w:val="both"/>
        <w:rPr>
          <w:rFonts w:asciiTheme="minorHAnsi" w:hAnsiTheme="minorHAnsi" w:cstheme="minorHAnsi"/>
        </w:rPr>
      </w:pPr>
      <w:r>
        <w:rPr>
          <w:rFonts w:asciiTheme="minorHAnsi" w:hAnsiTheme="minorHAnsi" w:cstheme="minorHAnsi"/>
        </w:rPr>
        <w:t xml:space="preserve">Tutto bene, allora? Sulla carta, ma solo sulla carta, verrebbe da dire SI, quantunque c’è sempre da andarci coi piedi di piombo quando si costituiscono </w:t>
      </w:r>
      <w:r w:rsidRPr="001F73DF">
        <w:rPr>
          <w:rFonts w:asciiTheme="minorHAnsi" w:hAnsiTheme="minorHAnsi" w:cstheme="minorHAnsi"/>
          <w:b/>
        </w:rPr>
        <w:t xml:space="preserve">grandi “carrozzoni” </w:t>
      </w:r>
      <w:r>
        <w:rPr>
          <w:rFonts w:asciiTheme="minorHAnsi" w:hAnsiTheme="minorHAnsi" w:cstheme="minorHAnsi"/>
        </w:rPr>
        <w:t xml:space="preserve">che, togliendo competenze a questo e quello, e aggiungendone di nuove, </w:t>
      </w:r>
      <w:r w:rsidRPr="001F73DF">
        <w:rPr>
          <w:rFonts w:asciiTheme="minorHAnsi" w:hAnsiTheme="minorHAnsi" w:cstheme="minorHAnsi"/>
          <w:b/>
        </w:rPr>
        <w:t>richiedono fasi di assestamento ragionevolmente lunghe</w:t>
      </w:r>
      <w:r>
        <w:rPr>
          <w:rFonts w:asciiTheme="minorHAnsi" w:hAnsiTheme="minorHAnsi" w:cstheme="minorHAnsi"/>
        </w:rPr>
        <w:t xml:space="preserve">. Poi, nella prassi bisognerà vedere se decadrà il malcostume di preavvisare le aziende dell’arrivo dei controlli. </w:t>
      </w:r>
    </w:p>
    <w:p w:rsidR="000F57E9" w:rsidRDefault="000F57E9" w:rsidP="00DC30E6">
      <w:pPr>
        <w:pStyle w:val="NormaleWeb"/>
        <w:spacing w:before="0" w:beforeAutospacing="0" w:after="0" w:afterAutospacing="0"/>
        <w:jc w:val="both"/>
        <w:rPr>
          <w:rFonts w:asciiTheme="minorHAnsi" w:hAnsiTheme="minorHAnsi" w:cstheme="minorHAnsi"/>
          <w:b/>
        </w:rPr>
      </w:pPr>
    </w:p>
    <w:p w:rsidR="000F57E9" w:rsidRDefault="000F57E9" w:rsidP="002569D0">
      <w:pPr>
        <w:pStyle w:val="NormaleWeb"/>
        <w:spacing w:before="0" w:beforeAutospacing="0" w:after="60" w:afterAutospacing="0"/>
        <w:jc w:val="both"/>
        <w:rPr>
          <w:rFonts w:asciiTheme="minorHAnsi" w:hAnsiTheme="minorHAnsi" w:cstheme="minorHAnsi"/>
          <w:b/>
        </w:rPr>
      </w:pPr>
      <w:r>
        <w:rPr>
          <w:rFonts w:asciiTheme="minorHAnsi" w:hAnsiTheme="minorHAnsi" w:cstheme="minorHAnsi"/>
          <w:b/>
        </w:rPr>
        <w:lastRenderedPageBreak/>
        <w:t>Il taglio delle aziende partecipate</w:t>
      </w:r>
    </w:p>
    <w:p w:rsidR="000F57E9" w:rsidRPr="000568F6" w:rsidRDefault="000F57E9" w:rsidP="00DC30E6">
      <w:pPr>
        <w:pStyle w:val="NormaleWeb"/>
        <w:spacing w:before="0" w:beforeAutospacing="0" w:after="0" w:afterAutospacing="0"/>
        <w:jc w:val="both"/>
        <w:rPr>
          <w:rFonts w:asciiTheme="minorHAnsi" w:hAnsiTheme="minorHAnsi" w:cstheme="minorHAnsi"/>
        </w:rPr>
      </w:pPr>
      <w:r w:rsidRPr="000568F6">
        <w:rPr>
          <w:rFonts w:asciiTheme="minorHAnsi" w:hAnsiTheme="minorHAnsi" w:cstheme="minorHAnsi"/>
        </w:rPr>
        <w:t xml:space="preserve">Una delle conseguenze della bocciatura delle Legge Madia da parte della Corte Costituzionale è stata il “congelamento” del decreto sulle aziende partecipate, che dunque richiede un’intesa, e non un semplice parere, con le Regioni. </w:t>
      </w:r>
    </w:p>
    <w:p w:rsidR="000F57E9" w:rsidRPr="000568F6" w:rsidRDefault="000F57E9" w:rsidP="00DC30E6">
      <w:pPr>
        <w:pStyle w:val="NormaleWeb"/>
        <w:spacing w:before="0" w:beforeAutospacing="0" w:after="0" w:afterAutospacing="0"/>
        <w:jc w:val="both"/>
        <w:rPr>
          <w:rFonts w:asciiTheme="minorHAnsi" w:hAnsiTheme="minorHAnsi" w:cstheme="minorHAnsi"/>
        </w:rPr>
      </w:pPr>
      <w:r w:rsidRPr="000568F6">
        <w:rPr>
          <w:rFonts w:asciiTheme="minorHAnsi" w:hAnsiTheme="minorHAnsi" w:cstheme="minorHAnsi"/>
        </w:rPr>
        <w:t xml:space="preserve">Tale intesa sta sfociando in un compromesso, per cui le Regioni avranno tempo </w:t>
      </w:r>
      <w:r w:rsidRPr="001F73DF">
        <w:rPr>
          <w:rFonts w:asciiTheme="minorHAnsi" w:hAnsiTheme="minorHAnsi" w:cstheme="minorHAnsi"/>
          <w:b/>
        </w:rPr>
        <w:t>sino al 23 giugno</w:t>
      </w:r>
      <w:r w:rsidRPr="000568F6">
        <w:rPr>
          <w:rFonts w:asciiTheme="minorHAnsi" w:hAnsiTheme="minorHAnsi" w:cstheme="minorHAnsi"/>
        </w:rPr>
        <w:t xml:space="preserve"> per decidere i tagli da effettuare.  La proroga riguarderebbe anche le altre scadenze fissate questa data, tra cui la lista degli eventuali esuberi conseguenti alla razionalizzazione.</w:t>
      </w:r>
    </w:p>
    <w:p w:rsidR="000F57E9" w:rsidRPr="000568F6" w:rsidRDefault="000F57E9" w:rsidP="00DC30E6">
      <w:pPr>
        <w:pStyle w:val="NormaleWeb"/>
        <w:spacing w:before="0" w:beforeAutospacing="0" w:after="0" w:afterAutospacing="0"/>
        <w:jc w:val="both"/>
        <w:rPr>
          <w:rFonts w:asciiTheme="minorHAnsi" w:hAnsiTheme="minorHAnsi" w:cstheme="minorHAnsi"/>
        </w:rPr>
      </w:pPr>
      <w:r w:rsidRPr="000568F6">
        <w:rPr>
          <w:rFonts w:asciiTheme="minorHAnsi" w:hAnsiTheme="minorHAnsi" w:cstheme="minorHAnsi"/>
        </w:rPr>
        <w:t xml:space="preserve">Il “taglia-partecipate” </w:t>
      </w:r>
      <w:r w:rsidR="001F73DF">
        <w:rPr>
          <w:rFonts w:asciiTheme="minorHAnsi" w:hAnsiTheme="minorHAnsi" w:cstheme="minorHAnsi"/>
        </w:rPr>
        <w:t>una volta tornato</w:t>
      </w:r>
      <w:r w:rsidRPr="000568F6">
        <w:rPr>
          <w:rFonts w:asciiTheme="minorHAnsi" w:hAnsiTheme="minorHAnsi" w:cstheme="minorHAnsi"/>
        </w:rPr>
        <w:t xml:space="preserve"> in Consiglio dei ministri, </w:t>
      </w:r>
      <w:r w:rsidR="001F73DF">
        <w:rPr>
          <w:rFonts w:asciiTheme="minorHAnsi" w:hAnsiTheme="minorHAnsi" w:cstheme="minorHAnsi"/>
        </w:rPr>
        <w:t>ha dovuto ripetere</w:t>
      </w:r>
      <w:r w:rsidRPr="000568F6">
        <w:rPr>
          <w:rFonts w:asciiTheme="minorHAnsi" w:hAnsiTheme="minorHAnsi" w:cstheme="minorHAnsi"/>
        </w:rPr>
        <w:t xml:space="preserve"> tutto l'iter, per acquisire l'intesa con gli enti territoriali e di nuovo i pareri, inclusi ovviamente quelli parlamentari. Finito il giro ritornerà in Cdm per il via libera definitivo. Intanto però il governo è a</w:t>
      </w:r>
      <w:r>
        <w:rPr>
          <w:rFonts w:asciiTheme="minorHAnsi" w:hAnsiTheme="minorHAnsi" w:cstheme="minorHAnsi"/>
        </w:rPr>
        <w:t>l</w:t>
      </w:r>
      <w:r w:rsidRPr="000568F6">
        <w:rPr>
          <w:rFonts w:asciiTheme="minorHAnsi" w:hAnsiTheme="minorHAnsi" w:cstheme="minorHAnsi"/>
        </w:rPr>
        <w:t xml:space="preserve"> lavoro per mettere a punto la struttura per il monitoraggio sulla sforbiciata, che sarà collocata presso il ministero dell'Economia, assicurando (si spera) la separazione a livello organizzativo, tra, «la suddetta struttura e gli uffici responsabili dell'esercizio dei diritti sociali». Al ministero sarà anche affidato l'elenco delle partecipate pubbliche.</w:t>
      </w:r>
    </w:p>
    <w:p w:rsidR="000F57E9" w:rsidRPr="000568F6" w:rsidRDefault="000F57E9" w:rsidP="00DC30E6">
      <w:pPr>
        <w:pStyle w:val="NormaleWeb"/>
        <w:spacing w:before="0" w:beforeAutospacing="0" w:after="0" w:afterAutospacing="0"/>
        <w:jc w:val="both"/>
        <w:rPr>
          <w:rFonts w:asciiTheme="minorHAnsi" w:hAnsiTheme="minorHAnsi" w:cstheme="minorHAnsi"/>
        </w:rPr>
      </w:pPr>
      <w:r w:rsidRPr="000568F6">
        <w:rPr>
          <w:rFonts w:asciiTheme="minorHAnsi" w:hAnsiTheme="minorHAnsi" w:cstheme="minorHAnsi"/>
        </w:rPr>
        <w:t>Il nodo principale è il tetto di 1 milione di euro per il fatturato medio nell’arco dell’ultimo triennio delle aziende, che la Conferenza delle Regioni vorrebbe abbassate a 500k, ma in tal caso svanirebbe il proposito di ridurre da 7684 a 1000 le partecipate, che era il punto cardine del decreto.</w:t>
      </w:r>
    </w:p>
    <w:p w:rsidR="000F57E9" w:rsidRPr="000568F6" w:rsidRDefault="000F57E9" w:rsidP="00DC30E6">
      <w:pPr>
        <w:pStyle w:val="NormaleWeb"/>
        <w:spacing w:before="0" w:beforeAutospacing="0" w:after="0" w:afterAutospacing="0"/>
        <w:jc w:val="both"/>
        <w:rPr>
          <w:rFonts w:asciiTheme="minorHAnsi" w:hAnsiTheme="minorHAnsi" w:cstheme="minorHAnsi"/>
        </w:rPr>
      </w:pPr>
      <w:r w:rsidRPr="000568F6">
        <w:rPr>
          <w:rFonts w:asciiTheme="minorHAnsi" w:hAnsiTheme="minorHAnsi" w:cstheme="minorHAnsi"/>
        </w:rPr>
        <w:t>Sulle tempistiche, stavolta, non si può derogare, anche perchè tale manovra è inserita nel piano di recupero dei 3,4 miliardi di euro pretesi dall'Europa per non aprire una procedura d'infrazione, che non dovrebbe prevedere nuove tasse.</w:t>
      </w:r>
    </w:p>
    <w:p w:rsidR="000F57E9" w:rsidRDefault="000F57E9" w:rsidP="00DC30E6">
      <w:pPr>
        <w:pStyle w:val="NormaleWeb"/>
        <w:spacing w:before="0" w:beforeAutospacing="0" w:after="0" w:afterAutospacing="0"/>
        <w:jc w:val="both"/>
        <w:rPr>
          <w:rFonts w:asciiTheme="minorHAnsi" w:hAnsiTheme="minorHAnsi" w:cstheme="minorHAnsi"/>
          <w:b/>
        </w:rPr>
      </w:pPr>
    </w:p>
    <w:p w:rsidR="000F57E9" w:rsidRPr="00A57C6C" w:rsidRDefault="000F57E9" w:rsidP="002569D0">
      <w:pPr>
        <w:pStyle w:val="NormaleWeb"/>
        <w:spacing w:before="0" w:beforeAutospacing="0" w:after="60" w:afterAutospacing="0"/>
        <w:jc w:val="both"/>
        <w:rPr>
          <w:rFonts w:asciiTheme="minorHAnsi" w:hAnsiTheme="minorHAnsi" w:cstheme="minorHAnsi"/>
          <w:b/>
        </w:rPr>
      </w:pPr>
      <w:r w:rsidRPr="00A57C6C">
        <w:rPr>
          <w:rFonts w:asciiTheme="minorHAnsi" w:hAnsiTheme="minorHAnsi" w:cstheme="minorHAnsi"/>
          <w:b/>
        </w:rPr>
        <w:t>La questione della dis-col per i contratti di collaborazione</w:t>
      </w:r>
    </w:p>
    <w:p w:rsidR="000F57E9" w:rsidRPr="00A57C6C" w:rsidRDefault="000F57E9" w:rsidP="00DC30E6">
      <w:pPr>
        <w:pStyle w:val="NormaleWeb"/>
        <w:spacing w:before="0" w:beforeAutospacing="0" w:after="0" w:afterAutospacing="0"/>
        <w:jc w:val="both"/>
        <w:rPr>
          <w:rFonts w:asciiTheme="minorHAnsi" w:hAnsiTheme="minorHAnsi" w:cstheme="minorHAnsi"/>
        </w:rPr>
      </w:pPr>
      <w:r w:rsidRPr="00A57C6C">
        <w:rPr>
          <w:rFonts w:asciiTheme="minorHAnsi" w:hAnsiTheme="minorHAnsi" w:cstheme="minorHAnsi"/>
        </w:rPr>
        <w:t xml:space="preserve">Un altro dei disastrosi corollari del Job Acts è l’aver penalizzato ulteriormente i precari soggetti a </w:t>
      </w:r>
      <w:bookmarkEnd w:id="0"/>
      <w:r w:rsidRPr="00A57C6C">
        <w:rPr>
          <w:rFonts w:asciiTheme="minorHAnsi" w:hAnsiTheme="minorHAnsi" w:cstheme="minorHAnsi"/>
        </w:rPr>
        <w:t>collaborazioni coordinate e continuative. Come sappiamo, il contratto co.co.co è tornato in auge dopo che il decreto 81/2015 sul Codice dei Contratti, misura attuativa del Jobs Act, ha reso il contratto a progetto non più stipulabile dal 25 giugno 2015, fatta eccezione per quelli già in essere che sarebbero rimasti in vigore sino al 31 dicembre 2015. </w:t>
      </w:r>
    </w:p>
    <w:p w:rsidR="000F57E9" w:rsidRPr="00A57C6C" w:rsidRDefault="000F57E9" w:rsidP="00DC30E6">
      <w:pPr>
        <w:pStyle w:val="NormaleWeb"/>
        <w:spacing w:before="0" w:beforeAutospacing="0" w:after="0" w:afterAutospacing="0"/>
        <w:jc w:val="both"/>
        <w:rPr>
          <w:rFonts w:asciiTheme="minorHAnsi" w:hAnsiTheme="minorHAnsi" w:cstheme="minorHAnsi"/>
        </w:rPr>
      </w:pPr>
      <w:r w:rsidRPr="00A57C6C">
        <w:rPr>
          <w:rFonts w:asciiTheme="minorHAnsi" w:hAnsiTheme="minorHAnsi" w:cstheme="minorHAnsi"/>
        </w:rPr>
        <w:t>I cococo, ricordiamo, sono contratti di lavoro a metà strada tra il lavoro autonomo e subordinato, dove il collaboratore lavora all'interno dell'azienda in piena autonomia e senza vincolo di subordinazione ma in rapporto coordinato e continuativo con il committente.</w:t>
      </w:r>
    </w:p>
    <w:p w:rsidR="000F57E9" w:rsidRPr="00A57C6C" w:rsidRDefault="000F57E9" w:rsidP="00DC30E6">
      <w:pPr>
        <w:pStyle w:val="NormaleWeb"/>
        <w:spacing w:before="0" w:beforeAutospacing="0" w:after="0" w:afterAutospacing="0"/>
        <w:jc w:val="both"/>
        <w:rPr>
          <w:rFonts w:asciiTheme="minorHAnsi" w:hAnsiTheme="minorHAnsi" w:cstheme="minorHAnsi"/>
        </w:rPr>
      </w:pPr>
      <w:r w:rsidRPr="00A57C6C">
        <w:rPr>
          <w:rFonts w:asciiTheme="minorHAnsi" w:hAnsiTheme="minorHAnsi" w:cstheme="minorHAnsi"/>
        </w:rPr>
        <w:t>Per evitare che dietro il cococo più economico e con minori tutele, possa nascondersi un vincolo di subordinazione, il decreto attuativo del Jobs Act ha previsto delle limitazioni e dei vincoli ben precisi che il committente deve rispettare anche in riferimento a tempi e luogo di lavoro (cd. presunzione di lavoro subordinato), prevedendo che il relativo contratto sia ricondotto ad assunzione a tempo indeterminato a tutele crescenti.</w:t>
      </w:r>
    </w:p>
    <w:p w:rsidR="000F57E9" w:rsidRPr="00A57C6C" w:rsidRDefault="000F57E9" w:rsidP="00DC30E6">
      <w:pPr>
        <w:pStyle w:val="NormaleWeb"/>
        <w:spacing w:before="0" w:beforeAutospacing="0" w:after="0" w:afterAutospacing="0"/>
        <w:jc w:val="both"/>
        <w:rPr>
          <w:rFonts w:asciiTheme="minorHAnsi" w:hAnsiTheme="minorHAnsi" w:cstheme="minorHAnsi"/>
        </w:rPr>
      </w:pPr>
      <w:r w:rsidRPr="00A57C6C">
        <w:rPr>
          <w:rFonts w:asciiTheme="minorHAnsi" w:hAnsiTheme="minorHAnsi" w:cstheme="minorHAnsi"/>
        </w:rPr>
        <w:t xml:space="preserve">Con ciò premesso, all’inizio di quest’anno è sparita l’indennità di disoccupazione, la cosiddetta dis-col, istituita nel 2015 a fronte delle cessazioni involontarie di contratti di collaborazione coordinata e continuativa, e poi prorogata per il 2016. Questo è quanto è stato precisato recentemente dall’Inps, scatenando con evidente ritardo le ire dei maggiori sindacati, i quali evidentemente non si sono accorti per tempo dell’esistenza ormai datata di siffatta disposizione. </w:t>
      </w:r>
    </w:p>
    <w:p w:rsidR="00CD6ED3" w:rsidRDefault="000F57E9" w:rsidP="00DC30E6">
      <w:pPr>
        <w:pStyle w:val="NormaleWeb"/>
        <w:spacing w:before="0" w:beforeAutospacing="0" w:after="0" w:afterAutospacing="0"/>
        <w:jc w:val="both"/>
        <w:rPr>
          <w:rFonts w:asciiTheme="minorHAnsi" w:hAnsiTheme="minorHAnsi" w:cstheme="minorHAnsi"/>
        </w:rPr>
      </w:pPr>
      <w:r w:rsidRPr="00A57C6C">
        <w:rPr>
          <w:rFonts w:asciiTheme="minorHAnsi" w:hAnsiTheme="minorHAnsi" w:cstheme="minorHAnsi"/>
        </w:rPr>
        <w:t xml:space="preserve">Adesso, per tamponare la situazione, il ministro del Lavoro ha annunciato l’inserimento nel Milleproroghe di una disposizione per “garantire la continuità dell’erogazione dell’indennità di disoccupazione Dis-coll ai collaboratori che perdono il lavoro”. Una nota del ministero del Lavoro </w:t>
      </w:r>
      <w:r w:rsidRPr="00A57C6C">
        <w:rPr>
          <w:rFonts w:asciiTheme="minorHAnsi" w:hAnsiTheme="minorHAnsi" w:cstheme="minorHAnsi"/>
        </w:rPr>
        <w:lastRenderedPageBreak/>
        <w:t xml:space="preserve">precisa però che tale proroga avverrà “solo in vista però della definizione di una nuova norma strutturale nella legge delega sul lavoro autonomo non imprenditoriale all’esame della Camera”. </w:t>
      </w:r>
    </w:p>
    <w:p w:rsidR="000F57E9" w:rsidRDefault="000F57E9" w:rsidP="00DC30E6">
      <w:pPr>
        <w:pStyle w:val="NormaleWeb"/>
        <w:spacing w:before="0" w:beforeAutospacing="0" w:after="0" w:afterAutospacing="0"/>
        <w:jc w:val="both"/>
        <w:rPr>
          <w:rFonts w:asciiTheme="minorHAnsi" w:hAnsiTheme="minorHAnsi" w:cstheme="minorHAnsi"/>
        </w:rPr>
      </w:pPr>
      <w:r>
        <w:rPr>
          <w:rFonts w:asciiTheme="minorHAnsi" w:hAnsiTheme="minorHAnsi" w:cstheme="minorHAnsi"/>
        </w:rPr>
        <w:t>Si tratta, in pratica, di quella sorta di “statuto” del lavoro autonomo di cui si parla da più di un anno in Parlamento, ma sulla quale non sono mai stati fatti passi avanti concreti.</w:t>
      </w:r>
    </w:p>
    <w:p w:rsidR="000F57E9" w:rsidRDefault="000F57E9" w:rsidP="00DC30E6">
      <w:pPr>
        <w:pStyle w:val="NormaleWeb"/>
        <w:spacing w:before="0" w:beforeAutospacing="0" w:after="0" w:afterAutospacing="0"/>
        <w:jc w:val="both"/>
        <w:rPr>
          <w:rFonts w:asciiTheme="minorHAnsi" w:hAnsiTheme="minorHAnsi" w:cstheme="minorHAnsi"/>
        </w:rPr>
      </w:pPr>
      <w:r>
        <w:rPr>
          <w:rFonts w:asciiTheme="minorHAnsi" w:hAnsiTheme="minorHAnsi" w:cstheme="minorHAnsi"/>
        </w:rPr>
        <w:t>Cambiano i governi, dunque, ma la politica resta sempre la stessa: rimandare il problema andando avanti a colpi di proroghe. Lo stesso è accaduto per la Cig nelle aree di “crisi complessa” e per gli esodati.</w:t>
      </w:r>
    </w:p>
    <w:p w:rsidR="000F57E9" w:rsidRDefault="000F57E9" w:rsidP="00DC30E6">
      <w:pPr>
        <w:pStyle w:val="NormaleWeb"/>
        <w:spacing w:before="0" w:beforeAutospacing="0" w:after="0" w:afterAutospacing="0"/>
        <w:jc w:val="both"/>
        <w:rPr>
          <w:rFonts w:asciiTheme="minorHAnsi" w:hAnsiTheme="minorHAnsi" w:cstheme="minorHAnsi"/>
        </w:rPr>
      </w:pPr>
      <w:r>
        <w:rPr>
          <w:rFonts w:asciiTheme="minorHAnsi" w:hAnsiTheme="minorHAnsi" w:cstheme="minorHAnsi"/>
        </w:rPr>
        <w:t>Viene da concludere – ma si tratta dell’ennesima replica – che il Jobs Act e il Jobs Act 2 hanno totalmente fallito la propria missione, perché se da un lato sono stati abbattuti alcuni vincoli a tutto vantaggio del datore di lavoro, dall’altro l’aumento delle opportunità di lavoro è stato del tutto effimero, come abbiamo sottolineato nel Report del II Semestre.</w:t>
      </w:r>
    </w:p>
    <w:p w:rsidR="000F57E9" w:rsidRDefault="000F57E9" w:rsidP="00DC30E6">
      <w:pPr>
        <w:pStyle w:val="NormaleWeb"/>
        <w:spacing w:before="0" w:beforeAutospacing="0" w:after="0" w:afterAutospacing="0"/>
        <w:jc w:val="both"/>
        <w:rPr>
          <w:rFonts w:asciiTheme="minorHAnsi" w:hAnsiTheme="minorHAnsi" w:cstheme="minorHAnsi"/>
        </w:rPr>
      </w:pPr>
      <w:r>
        <w:rPr>
          <w:rFonts w:asciiTheme="minorHAnsi" w:hAnsiTheme="minorHAnsi" w:cstheme="minorHAnsi"/>
        </w:rPr>
        <w:t>Non solo, guardando i dati dal 2008 ad oggi la situazione è a dir poco sconfortante: la disoccupazione è passata dal 6,7% a circa il 12%, vale a dire che da 1,6 milioni siamo passati a 3 milioni di disoccupati; i giovani senza lavoro erano il 21,2% ed ora  oltrepassano il 40%.</w:t>
      </w:r>
    </w:p>
    <w:p w:rsidR="000F57E9" w:rsidRDefault="000F57E9" w:rsidP="00DC30E6">
      <w:pPr>
        <w:pStyle w:val="NormaleWeb"/>
        <w:spacing w:before="0" w:beforeAutospacing="0" w:after="0" w:afterAutospacing="0"/>
        <w:jc w:val="both"/>
        <w:rPr>
          <w:rFonts w:asciiTheme="minorHAnsi" w:hAnsiTheme="minorHAnsi" w:cstheme="minorHAnsi"/>
        </w:rPr>
      </w:pPr>
      <w:r>
        <w:rPr>
          <w:rFonts w:asciiTheme="minorHAnsi" w:hAnsiTheme="minorHAnsi" w:cstheme="minorHAnsi"/>
        </w:rPr>
        <w:t>Ma il fatto più irritante, la cosiddetta beffa che si aggiunge al danno, è che alcuni soloni dell’economia insistono col dire che il precariato deve essere colto come un’opportunità. Si, ma solo di fuggire all’estero, avendo la giusta età e le necessarie capacità!</w:t>
      </w:r>
    </w:p>
    <w:p w:rsidR="001B1199" w:rsidRDefault="001B1199" w:rsidP="00DC30E6">
      <w:pPr>
        <w:pStyle w:val="NormaleWeb"/>
        <w:spacing w:before="0" w:beforeAutospacing="0" w:after="0" w:afterAutospacing="0"/>
        <w:jc w:val="both"/>
        <w:rPr>
          <w:rFonts w:asciiTheme="minorHAnsi" w:hAnsiTheme="minorHAnsi" w:cstheme="minorHAnsi"/>
        </w:rPr>
      </w:pPr>
    </w:p>
    <w:p w:rsidR="001B1199" w:rsidRPr="001B1199" w:rsidRDefault="001B1199" w:rsidP="002569D0">
      <w:pPr>
        <w:pStyle w:val="NormaleWeb"/>
        <w:spacing w:before="0" w:beforeAutospacing="0" w:after="60" w:afterAutospacing="0"/>
        <w:jc w:val="both"/>
        <w:rPr>
          <w:rFonts w:asciiTheme="minorHAnsi" w:hAnsiTheme="minorHAnsi" w:cstheme="minorHAnsi"/>
          <w:b/>
        </w:rPr>
      </w:pPr>
      <w:r w:rsidRPr="001B1199">
        <w:rPr>
          <w:rFonts w:asciiTheme="minorHAnsi" w:hAnsiTheme="minorHAnsi" w:cstheme="minorHAnsi"/>
          <w:b/>
        </w:rPr>
        <w:t>Il mancato rispetto degli accordi collettivi</w:t>
      </w:r>
    </w:p>
    <w:p w:rsidR="000F57E9" w:rsidRDefault="001B1199" w:rsidP="001B1199">
      <w:pPr>
        <w:spacing w:after="0" w:line="22" w:lineRule="atLeast"/>
        <w:jc w:val="both"/>
        <w:rPr>
          <w:sz w:val="24"/>
          <w:szCs w:val="24"/>
        </w:rPr>
      </w:pPr>
      <w:r>
        <w:rPr>
          <w:sz w:val="24"/>
          <w:szCs w:val="24"/>
        </w:rPr>
        <w:t xml:space="preserve">Il Fatto Quotidiano ha recentemente rilevato che, rispetto allo stipendio stabilito dal contratto nazionale di categoria, </w:t>
      </w:r>
      <w:r w:rsidRPr="001F73DF">
        <w:rPr>
          <w:b/>
          <w:sz w:val="24"/>
          <w:szCs w:val="24"/>
        </w:rPr>
        <w:t>un lavoratore su 10 prende il 10% in meno</w:t>
      </w:r>
      <w:r>
        <w:rPr>
          <w:sz w:val="24"/>
          <w:szCs w:val="24"/>
        </w:rPr>
        <w:t>. Una quota che sale a 1/5 nel Sud e nelle micro imprese e fino al 30% nel settore agricolo. I più penalizzati in assoluto sono le donne e i lavoratori con contratti a tempo, mentre la causa principale è negli straordinari non pagati.</w:t>
      </w:r>
      <w:r w:rsidR="00D17CB8" w:rsidRPr="00D17CB8">
        <w:rPr>
          <w:sz w:val="24"/>
          <w:szCs w:val="24"/>
        </w:rPr>
        <w:t xml:space="preserve"> </w:t>
      </w:r>
      <w:r w:rsidR="00D17CB8">
        <w:rPr>
          <w:sz w:val="24"/>
          <w:szCs w:val="24"/>
        </w:rPr>
        <w:t>Fenomeni piuttosto diffusi, in questo contesto, sono il mascheramento di rapporti subordinati col ricorso alle “finte” partite Iva e il “sotto mansionamento”, vale a dire l’accettazione (forzata) da parte del lavoratore di un inquadramento inferiore – in linea con le previsioni del contratto - a quello che gli competerebbe.</w:t>
      </w:r>
    </w:p>
    <w:p w:rsidR="001B1199" w:rsidRDefault="001B1199" w:rsidP="001B1199">
      <w:pPr>
        <w:spacing w:after="0" w:line="22" w:lineRule="atLeast"/>
        <w:jc w:val="both"/>
        <w:rPr>
          <w:sz w:val="24"/>
          <w:szCs w:val="24"/>
        </w:rPr>
      </w:pPr>
      <w:r>
        <w:rPr>
          <w:sz w:val="24"/>
          <w:szCs w:val="24"/>
        </w:rPr>
        <w:t xml:space="preserve">Va da se che </w:t>
      </w:r>
      <w:r w:rsidR="00D17CB8">
        <w:rPr>
          <w:sz w:val="24"/>
          <w:szCs w:val="24"/>
        </w:rPr>
        <w:t xml:space="preserve">tutto </w:t>
      </w:r>
      <w:r>
        <w:rPr>
          <w:sz w:val="24"/>
          <w:szCs w:val="24"/>
        </w:rPr>
        <w:t>ciò dovrebbe comportare innanzitutto una più ferrea attività ispettiva, associata a multe più severe, ma il problema va visto anche in chiave di concorrenza sleale messa in atto dalle aziende disoneste nei confronti di quelle oneste.</w:t>
      </w:r>
    </w:p>
    <w:p w:rsidR="001B1199" w:rsidRPr="00977652" w:rsidRDefault="001B1199" w:rsidP="001B1199">
      <w:pPr>
        <w:spacing w:after="0" w:line="22" w:lineRule="atLeast"/>
        <w:jc w:val="both"/>
        <w:rPr>
          <w:sz w:val="24"/>
          <w:szCs w:val="24"/>
        </w:rPr>
      </w:pPr>
      <w:r>
        <w:rPr>
          <w:sz w:val="24"/>
          <w:szCs w:val="24"/>
        </w:rPr>
        <w:t xml:space="preserve">Vi è però anche un altro aspetto di cui tenere conto: nella jungla degli </w:t>
      </w:r>
      <w:r w:rsidRPr="001F73DF">
        <w:rPr>
          <w:b/>
          <w:sz w:val="24"/>
          <w:szCs w:val="24"/>
        </w:rPr>
        <w:t>819 CCNL attualmente in vigore</w:t>
      </w:r>
      <w:r>
        <w:rPr>
          <w:sz w:val="24"/>
          <w:szCs w:val="24"/>
        </w:rPr>
        <w:t>, è facile per un imprend</w:t>
      </w:r>
      <w:r w:rsidR="00852157">
        <w:rPr>
          <w:sz w:val="24"/>
          <w:szCs w:val="24"/>
        </w:rPr>
        <w:t>itore scegliere il contratto a lui più conveniente</w:t>
      </w:r>
      <w:r w:rsidR="001D4FC0">
        <w:rPr>
          <w:sz w:val="24"/>
          <w:szCs w:val="24"/>
        </w:rPr>
        <w:t xml:space="preserve">; </w:t>
      </w:r>
      <w:r w:rsidR="00D17CB8">
        <w:rPr>
          <w:sz w:val="24"/>
          <w:szCs w:val="24"/>
        </w:rPr>
        <w:t>pertanto sarebbe auspicabile una riforma che stabilisca un modello generale di contratto valido per tutte le categorie, su cui poi innestare le specifiche del caso.</w:t>
      </w:r>
    </w:p>
    <w:p w:rsidR="006821A7" w:rsidRPr="000F57E9" w:rsidRDefault="006821A7" w:rsidP="001B1199">
      <w:pPr>
        <w:spacing w:after="0" w:line="22" w:lineRule="atLeast"/>
        <w:jc w:val="both"/>
        <w:rPr>
          <w:szCs w:val="24"/>
        </w:rPr>
      </w:pPr>
    </w:p>
    <w:sectPr w:rsidR="006821A7" w:rsidRPr="000F57E9" w:rsidSect="001127CC">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C60" w:rsidRDefault="004F5C60" w:rsidP="008C0196">
      <w:pPr>
        <w:spacing w:after="0" w:line="240" w:lineRule="auto"/>
      </w:pPr>
      <w:r>
        <w:separator/>
      </w:r>
    </w:p>
  </w:endnote>
  <w:endnote w:type="continuationSeparator" w:id="1">
    <w:p w:rsidR="004F5C60" w:rsidRDefault="004F5C60" w:rsidP="008C0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21"/>
      <w:gridCol w:w="8833"/>
    </w:tblGrid>
    <w:tr w:rsidR="008C0196">
      <w:tc>
        <w:tcPr>
          <w:tcW w:w="918" w:type="dxa"/>
        </w:tcPr>
        <w:p w:rsidR="008C0196" w:rsidRDefault="007014E4">
          <w:pPr>
            <w:pStyle w:val="Pidipagina"/>
            <w:jc w:val="right"/>
            <w:rPr>
              <w:b/>
              <w:color w:val="5B9BD5" w:themeColor="accent1"/>
              <w:sz w:val="32"/>
              <w:szCs w:val="32"/>
            </w:rPr>
          </w:pPr>
          <w:fldSimple w:instr=" PAGE   \* MERGEFORMAT ">
            <w:r w:rsidR="002569D0" w:rsidRPr="002569D0">
              <w:rPr>
                <w:b/>
                <w:noProof/>
                <w:color w:val="5B9BD5" w:themeColor="accent1"/>
                <w:sz w:val="32"/>
                <w:szCs w:val="32"/>
              </w:rPr>
              <w:t>6</w:t>
            </w:r>
          </w:fldSimple>
        </w:p>
      </w:tc>
      <w:tc>
        <w:tcPr>
          <w:tcW w:w="7938" w:type="dxa"/>
        </w:tcPr>
        <w:p w:rsidR="00EC149E" w:rsidRPr="00EC149E" w:rsidRDefault="002569D0" w:rsidP="00EC149E">
          <w:pPr>
            <w:spacing w:after="0" w:line="240" w:lineRule="auto"/>
            <w:rPr>
              <w:sz w:val="24"/>
              <w:szCs w:val="24"/>
            </w:rPr>
          </w:pPr>
          <w:r>
            <w:rPr>
              <w:sz w:val="24"/>
              <w:szCs w:val="24"/>
            </w:rPr>
            <w:t>INFORMATIVA POLITICO/LEGISLATIVA</w:t>
          </w:r>
        </w:p>
        <w:p w:rsidR="008C0196" w:rsidRDefault="008C0196">
          <w:pPr>
            <w:pStyle w:val="Pidipagina"/>
          </w:pPr>
        </w:p>
      </w:tc>
    </w:tr>
  </w:tbl>
  <w:p w:rsidR="008C0196" w:rsidRDefault="008C0196">
    <w:pPr>
      <w:pStyle w:val="Pidipagina"/>
    </w:pPr>
  </w:p>
  <w:p w:rsidR="006A76C7" w:rsidRDefault="006A76C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C60" w:rsidRDefault="004F5C60" w:rsidP="008C0196">
      <w:pPr>
        <w:spacing w:after="0" w:line="240" w:lineRule="auto"/>
      </w:pPr>
      <w:r>
        <w:separator/>
      </w:r>
    </w:p>
  </w:footnote>
  <w:footnote w:type="continuationSeparator" w:id="1">
    <w:p w:rsidR="004F5C60" w:rsidRDefault="004F5C60" w:rsidP="008C01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96" w:rsidRPr="00853883" w:rsidRDefault="00C04A12" w:rsidP="00807410">
    <w:pPr>
      <w:pStyle w:val="Intestazione"/>
      <w:jc w:val="center"/>
      <w:rPr>
        <w:rFonts w:ascii="Perpetua" w:hAnsi="Perpetua"/>
        <w:sz w:val="24"/>
        <w:szCs w:val="24"/>
      </w:rPr>
    </w:pPr>
    <w:r w:rsidRPr="00853883">
      <w:rPr>
        <w:rFonts w:ascii="Perpetua" w:hAnsi="Perpetua"/>
        <w:sz w:val="24"/>
        <w:szCs w:val="24"/>
      </w:rPr>
      <w:t xml:space="preserve">CONSIGLIO NAZIONALE FIADEL/CSA – CHIANCIANO TERME </w:t>
    </w:r>
    <w:r w:rsidR="00853883">
      <w:rPr>
        <w:rFonts w:ascii="Perpetua" w:hAnsi="Perpetua"/>
        <w:sz w:val="24"/>
        <w:szCs w:val="24"/>
      </w:rPr>
      <w:t>30/</w:t>
    </w:r>
    <w:r w:rsidRPr="00853883">
      <w:rPr>
        <w:rFonts w:ascii="Perpetua" w:hAnsi="Perpetua"/>
        <w:sz w:val="24"/>
        <w:szCs w:val="24"/>
      </w:rPr>
      <w:t xml:space="preserve">31 </w:t>
    </w:r>
    <w:r w:rsidR="00853883">
      <w:rPr>
        <w:rFonts w:ascii="Perpetua" w:hAnsi="Perpetua"/>
        <w:sz w:val="24"/>
        <w:szCs w:val="24"/>
      </w:rPr>
      <w:t>MARZO – 1° APRILE</w:t>
    </w:r>
    <w:r w:rsidRPr="00853883">
      <w:rPr>
        <w:rFonts w:ascii="Perpetua" w:hAnsi="Perpetua"/>
        <w:sz w:val="24"/>
        <w:szCs w:val="24"/>
      </w:rPr>
      <w:t xml:space="preserve">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7D1"/>
    <w:multiLevelType w:val="multilevel"/>
    <w:tmpl w:val="18B2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7228BD"/>
    <w:multiLevelType w:val="multilevel"/>
    <w:tmpl w:val="0FE62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683EDD"/>
    <w:multiLevelType w:val="multilevel"/>
    <w:tmpl w:val="E14E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045169"/>
    <w:multiLevelType w:val="hybridMultilevel"/>
    <w:tmpl w:val="D61A61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0B55091"/>
    <w:multiLevelType w:val="multilevel"/>
    <w:tmpl w:val="1830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E810E4"/>
    <w:rsid w:val="00026A8A"/>
    <w:rsid w:val="000568F6"/>
    <w:rsid w:val="000706D2"/>
    <w:rsid w:val="000B038B"/>
    <w:rsid w:val="000D79F0"/>
    <w:rsid w:val="000E07E9"/>
    <w:rsid w:val="000F57E9"/>
    <w:rsid w:val="001127CC"/>
    <w:rsid w:val="00113E8F"/>
    <w:rsid w:val="00141875"/>
    <w:rsid w:val="001860D7"/>
    <w:rsid w:val="001B1199"/>
    <w:rsid w:val="001C6434"/>
    <w:rsid w:val="001C7FED"/>
    <w:rsid w:val="001D4FC0"/>
    <w:rsid w:val="001F73DF"/>
    <w:rsid w:val="00221CEA"/>
    <w:rsid w:val="00231C93"/>
    <w:rsid w:val="00242127"/>
    <w:rsid w:val="002569D0"/>
    <w:rsid w:val="0026063B"/>
    <w:rsid w:val="002C6178"/>
    <w:rsid w:val="00300002"/>
    <w:rsid w:val="00316F75"/>
    <w:rsid w:val="00391B44"/>
    <w:rsid w:val="0039737D"/>
    <w:rsid w:val="00397CD5"/>
    <w:rsid w:val="003B7D81"/>
    <w:rsid w:val="003F13CB"/>
    <w:rsid w:val="004279F1"/>
    <w:rsid w:val="00454DEF"/>
    <w:rsid w:val="00456A07"/>
    <w:rsid w:val="004F5C60"/>
    <w:rsid w:val="00535BF5"/>
    <w:rsid w:val="006146FB"/>
    <w:rsid w:val="006165AC"/>
    <w:rsid w:val="00617E98"/>
    <w:rsid w:val="00645667"/>
    <w:rsid w:val="006574AF"/>
    <w:rsid w:val="00661A6D"/>
    <w:rsid w:val="006821A7"/>
    <w:rsid w:val="006A76C7"/>
    <w:rsid w:val="006C36D3"/>
    <w:rsid w:val="006C5733"/>
    <w:rsid w:val="007014E4"/>
    <w:rsid w:val="00712BFE"/>
    <w:rsid w:val="007307EF"/>
    <w:rsid w:val="00781B20"/>
    <w:rsid w:val="007B7388"/>
    <w:rsid w:val="007F6CB7"/>
    <w:rsid w:val="00807410"/>
    <w:rsid w:val="0082230E"/>
    <w:rsid w:val="00826DEA"/>
    <w:rsid w:val="00852157"/>
    <w:rsid w:val="00853883"/>
    <w:rsid w:val="00870192"/>
    <w:rsid w:val="008C0196"/>
    <w:rsid w:val="008C6B82"/>
    <w:rsid w:val="008F2054"/>
    <w:rsid w:val="00977652"/>
    <w:rsid w:val="009B732E"/>
    <w:rsid w:val="00A261AB"/>
    <w:rsid w:val="00A57C6C"/>
    <w:rsid w:val="00A773F5"/>
    <w:rsid w:val="00B012BD"/>
    <w:rsid w:val="00B476DE"/>
    <w:rsid w:val="00C04A12"/>
    <w:rsid w:val="00C73787"/>
    <w:rsid w:val="00CD6ED3"/>
    <w:rsid w:val="00CE2490"/>
    <w:rsid w:val="00D07ABB"/>
    <w:rsid w:val="00D15014"/>
    <w:rsid w:val="00D17CB8"/>
    <w:rsid w:val="00D62FD9"/>
    <w:rsid w:val="00D87F6D"/>
    <w:rsid w:val="00DA0078"/>
    <w:rsid w:val="00DC30E6"/>
    <w:rsid w:val="00DC75E8"/>
    <w:rsid w:val="00DE0EB7"/>
    <w:rsid w:val="00DE6CDD"/>
    <w:rsid w:val="00E10C9E"/>
    <w:rsid w:val="00E440BA"/>
    <w:rsid w:val="00E810E4"/>
    <w:rsid w:val="00E84ABB"/>
    <w:rsid w:val="00EC149E"/>
    <w:rsid w:val="00EE40A1"/>
    <w:rsid w:val="00F055AB"/>
    <w:rsid w:val="00F22369"/>
    <w:rsid w:val="00F238A1"/>
    <w:rsid w:val="00F265E4"/>
    <w:rsid w:val="00FA53A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27CC"/>
  </w:style>
  <w:style w:type="paragraph" w:styleId="Titolo1">
    <w:name w:val="heading 1"/>
    <w:basedOn w:val="Normale"/>
    <w:next w:val="Normale"/>
    <w:link w:val="Titolo1Carattere"/>
    <w:uiPriority w:val="9"/>
    <w:qFormat/>
    <w:rsid w:val="003F13C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link w:val="Titolo2Carattere"/>
    <w:uiPriority w:val="9"/>
    <w:qFormat/>
    <w:rsid w:val="0097765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77652"/>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97765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77652"/>
    <w:rPr>
      <w:b/>
      <w:bCs/>
    </w:rPr>
  </w:style>
  <w:style w:type="character" w:styleId="Collegamentoipertestuale">
    <w:name w:val="Hyperlink"/>
    <w:basedOn w:val="Carpredefinitoparagrafo"/>
    <w:uiPriority w:val="99"/>
    <w:semiHidden/>
    <w:unhideWhenUsed/>
    <w:rsid w:val="00977652"/>
    <w:rPr>
      <w:color w:val="0000FF"/>
      <w:u w:val="single"/>
    </w:rPr>
  </w:style>
  <w:style w:type="character" w:styleId="Enfasicorsivo">
    <w:name w:val="Emphasis"/>
    <w:basedOn w:val="Carpredefinitoparagrafo"/>
    <w:uiPriority w:val="20"/>
    <w:qFormat/>
    <w:rsid w:val="00977652"/>
    <w:rPr>
      <w:i/>
      <w:iCs/>
    </w:rPr>
  </w:style>
  <w:style w:type="character" w:customStyle="1" w:styleId="apple-converted-space">
    <w:name w:val="apple-converted-space"/>
    <w:basedOn w:val="Carpredefinitoparagrafo"/>
    <w:rsid w:val="0039737D"/>
  </w:style>
  <w:style w:type="character" w:customStyle="1" w:styleId="Titolo1Carattere">
    <w:name w:val="Titolo 1 Carattere"/>
    <w:basedOn w:val="Carpredefinitoparagrafo"/>
    <w:link w:val="Titolo1"/>
    <w:uiPriority w:val="9"/>
    <w:rsid w:val="003F13CB"/>
    <w:rPr>
      <w:rFonts w:asciiTheme="majorHAnsi" w:eastAsiaTheme="majorEastAsia" w:hAnsiTheme="majorHAnsi" w:cstheme="majorBidi"/>
      <w:b/>
      <w:bCs/>
      <w:color w:val="2E74B5" w:themeColor="accent1" w:themeShade="BF"/>
      <w:sz w:val="28"/>
      <w:szCs w:val="28"/>
    </w:rPr>
  </w:style>
  <w:style w:type="paragraph" w:customStyle="1" w:styleId="summary">
    <w:name w:val="summary"/>
    <w:basedOn w:val="Normale"/>
    <w:rsid w:val="003F13C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8C01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C0196"/>
  </w:style>
  <w:style w:type="paragraph" w:styleId="Pidipagina">
    <w:name w:val="footer"/>
    <w:basedOn w:val="Normale"/>
    <w:link w:val="PidipaginaCarattere"/>
    <w:uiPriority w:val="99"/>
    <w:unhideWhenUsed/>
    <w:rsid w:val="008C01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0196"/>
  </w:style>
  <w:style w:type="paragraph" w:styleId="Paragrafoelenco">
    <w:name w:val="List Paragraph"/>
    <w:basedOn w:val="Normale"/>
    <w:uiPriority w:val="34"/>
    <w:qFormat/>
    <w:rsid w:val="00EC149E"/>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340621550">
      <w:bodyDiv w:val="1"/>
      <w:marLeft w:val="0"/>
      <w:marRight w:val="0"/>
      <w:marTop w:val="0"/>
      <w:marBottom w:val="0"/>
      <w:divBdr>
        <w:top w:val="none" w:sz="0" w:space="0" w:color="auto"/>
        <w:left w:val="none" w:sz="0" w:space="0" w:color="auto"/>
        <w:bottom w:val="none" w:sz="0" w:space="0" w:color="auto"/>
        <w:right w:val="none" w:sz="0" w:space="0" w:color="auto"/>
      </w:divBdr>
    </w:div>
    <w:div w:id="405416541">
      <w:bodyDiv w:val="1"/>
      <w:marLeft w:val="0"/>
      <w:marRight w:val="0"/>
      <w:marTop w:val="0"/>
      <w:marBottom w:val="0"/>
      <w:divBdr>
        <w:top w:val="none" w:sz="0" w:space="0" w:color="auto"/>
        <w:left w:val="none" w:sz="0" w:space="0" w:color="auto"/>
        <w:bottom w:val="none" w:sz="0" w:space="0" w:color="auto"/>
        <w:right w:val="none" w:sz="0" w:space="0" w:color="auto"/>
      </w:divBdr>
    </w:div>
    <w:div w:id="882449808">
      <w:bodyDiv w:val="1"/>
      <w:marLeft w:val="0"/>
      <w:marRight w:val="0"/>
      <w:marTop w:val="0"/>
      <w:marBottom w:val="0"/>
      <w:divBdr>
        <w:top w:val="none" w:sz="0" w:space="0" w:color="auto"/>
        <w:left w:val="none" w:sz="0" w:space="0" w:color="auto"/>
        <w:bottom w:val="none" w:sz="0" w:space="0" w:color="auto"/>
        <w:right w:val="none" w:sz="0" w:space="0" w:color="auto"/>
      </w:divBdr>
    </w:div>
    <w:div w:id="164639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lex.com/documents/leggi/2009/12/11/la-riforma-brunetta-sulla-pubblica-amministrazione-pubblicata-in-gazzet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talex.com/documents/news/2015/08/04/riforma-pubblica-amministra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C4BB4-6F09-4A72-B96B-31F017E0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3186</Words>
  <Characters>18162</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Cerigioni</dc:creator>
  <cp:lastModifiedBy>Sportelli</cp:lastModifiedBy>
  <cp:revision>2</cp:revision>
  <cp:lastPrinted>2017-03-09T14:16:00Z</cp:lastPrinted>
  <dcterms:created xsi:type="dcterms:W3CDTF">2017-03-22T08:48:00Z</dcterms:created>
  <dcterms:modified xsi:type="dcterms:W3CDTF">2017-03-22T08:48:00Z</dcterms:modified>
</cp:coreProperties>
</file>